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9A783C" w14:textId="77777777" w:rsidR="00685DC5" w:rsidRPr="001100D5" w:rsidRDefault="00685DC5" w:rsidP="00685DC5">
      <w:pPr>
        <w:tabs>
          <w:tab w:val="left" w:pos="-1134"/>
          <w:tab w:val="left" w:pos="-564"/>
          <w:tab w:val="left" w:pos="1"/>
          <w:tab w:val="left" w:pos="564"/>
          <w:tab w:val="left" w:pos="1128"/>
          <w:tab w:val="left" w:pos="1698"/>
          <w:tab w:val="left" w:pos="2262"/>
          <w:tab w:val="left" w:pos="2826"/>
          <w:tab w:val="left" w:pos="3960"/>
          <w:tab w:val="left" w:pos="4530"/>
          <w:tab w:val="left" w:pos="5094"/>
          <w:tab w:val="left" w:pos="5658"/>
          <w:tab w:val="left" w:pos="6228"/>
          <w:tab w:val="left" w:pos="6792"/>
          <w:tab w:val="left" w:pos="7362"/>
          <w:tab w:val="left" w:pos="7926"/>
          <w:tab w:val="left" w:pos="8490"/>
          <w:tab w:val="left" w:pos="9060"/>
          <w:tab w:val="left" w:pos="9624"/>
          <w:tab w:val="left" w:pos="10194"/>
          <w:tab w:val="left" w:pos="10758"/>
          <w:tab w:val="left" w:pos="11322"/>
          <w:tab w:val="left" w:pos="11892"/>
          <w:tab w:val="left" w:pos="12456"/>
          <w:tab w:val="left" w:pos="13026"/>
          <w:tab w:val="left" w:pos="13590"/>
          <w:tab w:val="left" w:pos="14154"/>
          <w:tab w:val="left" w:pos="14724"/>
          <w:tab w:val="left" w:pos="15288"/>
          <w:tab w:val="left" w:pos="15858"/>
          <w:tab w:val="left" w:pos="16422"/>
          <w:tab w:val="left" w:pos="16986"/>
          <w:tab w:val="left" w:pos="17556"/>
          <w:tab w:val="left" w:pos="18120"/>
          <w:tab w:val="left" w:pos="18690"/>
          <w:tab w:val="left" w:pos="19254"/>
          <w:tab w:val="left" w:pos="19818"/>
          <w:tab w:val="left" w:pos="20388"/>
          <w:tab w:val="left" w:pos="20952"/>
        </w:tabs>
        <w:jc w:val="center"/>
      </w:pPr>
      <w:r w:rsidRPr="001100D5">
        <w:rPr>
          <w:noProof/>
        </w:rPr>
        <w:drawing>
          <wp:inline distT="0" distB="0" distL="0" distR="0" wp14:anchorId="07350E36" wp14:editId="196ED495">
            <wp:extent cx="828675" cy="933450"/>
            <wp:effectExtent l="0" t="0" r="0" b="0"/>
            <wp:docPr id="593022538" name="Immagine 3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022538" name="Immagine 3" descr="A picture containing text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035FE8" w14:textId="77777777" w:rsidR="00685DC5" w:rsidRPr="001100D5" w:rsidRDefault="00685DC5" w:rsidP="00685DC5">
      <w:pPr>
        <w:pStyle w:val="NormalWeb"/>
        <w:shd w:val="clear" w:color="auto" w:fill="FFFFFF"/>
        <w:spacing w:before="120" w:beforeAutospacing="0" w:after="0" w:afterAutospacing="0"/>
        <w:jc w:val="center"/>
        <w:rPr>
          <w:rFonts w:ascii="Arial" w:hAnsi="Arial" w:cs="Arial"/>
          <w:sz w:val="120"/>
          <w:szCs w:val="120"/>
        </w:rPr>
      </w:pPr>
      <w:r w:rsidRPr="001100D5">
        <w:rPr>
          <w:rFonts w:ascii="Palace Script MT" w:hAnsi="Palace Script MT" w:cs="Arial"/>
          <w:spacing w:val="30"/>
          <w:sz w:val="120"/>
          <w:szCs w:val="120"/>
        </w:rPr>
        <w:t>Ministero della Giustizia</w:t>
      </w:r>
    </w:p>
    <w:p w14:paraId="4DC7C687" w14:textId="77777777" w:rsidR="00C5679C" w:rsidRDefault="00C5679C" w:rsidP="774632FD">
      <w:pPr>
        <w:widowControl/>
        <w:jc w:val="center"/>
        <w:rPr>
          <w:rStyle w:val="normaltextrun"/>
          <w:rFonts w:ascii="Palace Script MT" w:hAnsi="Palace Script MT"/>
          <w:color w:val="222222"/>
          <w:sz w:val="43"/>
          <w:szCs w:val="43"/>
          <w:shd w:val="clear" w:color="auto" w:fill="FFFFFF"/>
        </w:rPr>
      </w:pPr>
      <w:r>
        <w:rPr>
          <w:rStyle w:val="normaltextrun"/>
          <w:rFonts w:ascii="Palace Script MT" w:hAnsi="Palace Script MT"/>
          <w:color w:val="222222"/>
          <w:sz w:val="43"/>
          <w:szCs w:val="43"/>
          <w:shd w:val="clear" w:color="auto" w:fill="FFFFFF"/>
        </w:rPr>
        <w:t>Dipartimento per l’innovazione tecnologica della giustizia</w:t>
      </w:r>
    </w:p>
    <w:p w14:paraId="38C34A2B" w14:textId="683B80C4" w:rsidR="487FDD16" w:rsidRPr="001100D5" w:rsidRDefault="487FDD16" w:rsidP="774632FD">
      <w:pPr>
        <w:widowControl/>
        <w:jc w:val="center"/>
        <w:rPr>
          <w:rFonts w:ascii="Palace Script MT" w:eastAsia="Palace Script MT" w:hAnsi="Palace Script MT" w:cs="Palace Script MT"/>
          <w:sz w:val="43"/>
          <w:szCs w:val="43"/>
        </w:rPr>
      </w:pPr>
      <w:r w:rsidRPr="001100D5">
        <w:rPr>
          <w:rStyle w:val="normaltextrun"/>
          <w:rFonts w:ascii="Palace Script MT" w:eastAsia="Palace Script MT" w:hAnsi="Palace Script MT" w:cs="Palace Script MT"/>
          <w:sz w:val="43"/>
          <w:szCs w:val="43"/>
        </w:rPr>
        <w:t>Direzione generale per i Sistemi Informativi Automatizzati </w:t>
      </w:r>
    </w:p>
    <w:p w14:paraId="66995611" w14:textId="79054664" w:rsidR="774632FD" w:rsidRPr="001100D5" w:rsidRDefault="774632FD" w:rsidP="774632FD">
      <w:pPr>
        <w:widowControl/>
        <w:jc w:val="center"/>
        <w:rPr>
          <w:rStyle w:val="normaltextrun"/>
          <w:rFonts w:ascii="Palace Script MT" w:eastAsia="Palace Script MT" w:hAnsi="Palace Script MT" w:cs="Palace Script MT"/>
          <w:sz w:val="43"/>
          <w:szCs w:val="43"/>
        </w:rPr>
      </w:pPr>
    </w:p>
    <w:p w14:paraId="0AD7D1F4" w14:textId="149E3CBC" w:rsidR="00454C0E" w:rsidRPr="001100D5" w:rsidRDefault="00454C0E" w:rsidP="00005EC9"/>
    <w:p w14:paraId="158CA987" w14:textId="5050607B" w:rsidR="00454C0E" w:rsidRPr="001100D5" w:rsidRDefault="00454C0E" w:rsidP="00005EC9"/>
    <w:p w14:paraId="3692309E" w14:textId="6C950F11" w:rsidR="00454C0E" w:rsidRPr="001100D5" w:rsidRDefault="00454C0E" w:rsidP="00005EC9"/>
    <w:p w14:paraId="2D6FE2E8" w14:textId="3860AF21" w:rsidR="007F1F7F" w:rsidRPr="001100D5" w:rsidRDefault="007F1F7F" w:rsidP="00005EC9"/>
    <w:p w14:paraId="702B5E73" w14:textId="4AD35D55" w:rsidR="007F1F7F" w:rsidRPr="001100D5" w:rsidRDefault="007F1F7F" w:rsidP="00005EC9"/>
    <w:p w14:paraId="29B073F3" w14:textId="715D0498" w:rsidR="007F1F7F" w:rsidRPr="001100D5" w:rsidRDefault="007F1F7F" w:rsidP="00005EC9"/>
    <w:p w14:paraId="18863AD3" w14:textId="708B7103" w:rsidR="007F1F7F" w:rsidRPr="001100D5" w:rsidRDefault="007F1F7F" w:rsidP="00005EC9"/>
    <w:p w14:paraId="307B816B" w14:textId="77777777" w:rsidR="007F1F7F" w:rsidRPr="001100D5" w:rsidRDefault="007F1F7F" w:rsidP="00005EC9"/>
    <w:p w14:paraId="2B9029F3" w14:textId="77777777" w:rsidR="00454C0E" w:rsidRPr="001100D5" w:rsidRDefault="00454C0E" w:rsidP="00005EC9">
      <w:pPr>
        <w:rPr>
          <w:sz w:val="36"/>
          <w:szCs w:val="36"/>
        </w:rPr>
      </w:pPr>
    </w:p>
    <w:p w14:paraId="17CCE957" w14:textId="2D588B09" w:rsidR="00F53DF0" w:rsidRPr="001100D5" w:rsidRDefault="00953C2B" w:rsidP="00005EC9">
      <w:pPr>
        <w:jc w:val="center"/>
        <w:rPr>
          <w:b/>
          <w:bCs/>
          <w:sz w:val="36"/>
          <w:szCs w:val="36"/>
        </w:rPr>
      </w:pPr>
      <w:r w:rsidRPr="001100D5">
        <w:rPr>
          <w:b/>
          <w:bCs/>
          <w:sz w:val="36"/>
          <w:szCs w:val="36"/>
        </w:rPr>
        <w:t>PIANO DI MONITORAGGIO</w:t>
      </w:r>
      <w:r w:rsidR="000C006E" w:rsidRPr="001100D5">
        <w:rPr>
          <w:b/>
          <w:bCs/>
          <w:sz w:val="36"/>
          <w:szCs w:val="36"/>
        </w:rPr>
        <w:br/>
        <w:t>CONTRATTO</w:t>
      </w:r>
    </w:p>
    <w:p w14:paraId="3A7A9CA9" w14:textId="77777777" w:rsidR="00F168F4" w:rsidRPr="001100D5" w:rsidRDefault="00F168F4" w:rsidP="00F168F4">
      <w:pPr>
        <w:rPr>
          <w:sz w:val="36"/>
          <w:szCs w:val="36"/>
        </w:rPr>
      </w:pPr>
    </w:p>
    <w:p w14:paraId="6291A8FD" w14:textId="02E4C96C" w:rsidR="00F168F4" w:rsidRPr="001100D5" w:rsidRDefault="7AD51B4A" w:rsidP="21EC19F1">
      <w:pPr>
        <w:tabs>
          <w:tab w:val="left" w:pos="3214"/>
        </w:tabs>
        <w:jc w:val="center"/>
        <w:rPr>
          <w:sz w:val="36"/>
          <w:szCs w:val="36"/>
        </w:rPr>
      </w:pPr>
      <w:r w:rsidRPr="001100D5">
        <w:rPr>
          <w:i/>
          <w:iCs/>
          <w:sz w:val="36"/>
          <w:szCs w:val="36"/>
        </w:rPr>
        <w:t xml:space="preserve">AFFIDAMENTO DI “SERVIZI APPLICATIVI PER I SISTEMI AMMINISTRATIVI CENTRALI” MEDIANTE ORDINATIVO DI FORNITURA NELL’AMBITO DELL’ACCORDO QUADRO PER I SERVIZI APPLICATIVI PER LE PUBBLICHE AMMINISTRAZIONI CENTRALI STIPULATO DA CONSIP </w:t>
      </w:r>
    </w:p>
    <w:p w14:paraId="6C37CCC2" w14:textId="687D5EDD" w:rsidR="00F168F4" w:rsidRPr="001100D5" w:rsidRDefault="7AD51B4A" w:rsidP="21EC19F1">
      <w:pPr>
        <w:tabs>
          <w:tab w:val="left" w:pos="3214"/>
        </w:tabs>
        <w:jc w:val="center"/>
      </w:pPr>
      <w:r w:rsidRPr="001100D5">
        <w:rPr>
          <w:i/>
          <w:iCs/>
          <w:sz w:val="36"/>
          <w:szCs w:val="36"/>
        </w:rPr>
        <w:t xml:space="preserve"> </w:t>
      </w:r>
    </w:p>
    <w:p w14:paraId="60A64EB0" w14:textId="349E5CA6" w:rsidR="00F168F4" w:rsidRPr="001100D5" w:rsidRDefault="7AD51B4A" w:rsidP="21EC19F1">
      <w:pPr>
        <w:tabs>
          <w:tab w:val="left" w:pos="3214"/>
        </w:tabs>
        <w:jc w:val="center"/>
        <w:rPr>
          <w:sz w:val="36"/>
          <w:szCs w:val="36"/>
        </w:rPr>
      </w:pPr>
      <w:r w:rsidRPr="001100D5">
        <w:rPr>
          <w:i/>
          <w:iCs/>
          <w:sz w:val="36"/>
          <w:szCs w:val="36"/>
        </w:rPr>
        <w:t>ID 2483 – LOTTO 1</w:t>
      </w:r>
      <w:r w:rsidR="41532D87" w:rsidRPr="001100D5">
        <w:rPr>
          <w:i/>
          <w:iCs/>
          <w:sz w:val="36"/>
          <w:szCs w:val="36"/>
        </w:rPr>
        <w:t xml:space="preserve"> </w:t>
      </w:r>
      <w:r w:rsidR="358C3944" w:rsidRPr="001100D5">
        <w:rPr>
          <w:i/>
          <w:iCs/>
          <w:sz w:val="36"/>
          <w:szCs w:val="36"/>
        </w:rPr>
        <w:t>– CIG:</w:t>
      </w:r>
      <w:r w:rsidR="358C3944" w:rsidRPr="001100D5">
        <w:rPr>
          <w:sz w:val="36"/>
          <w:szCs w:val="36"/>
        </w:rPr>
        <w:t xml:space="preserve"> </w:t>
      </w:r>
      <w:r w:rsidR="2703CD55" w:rsidRPr="001100D5">
        <w:rPr>
          <w:sz w:val="36"/>
          <w:szCs w:val="36"/>
        </w:rPr>
        <w:t>A0135C1EC3</w:t>
      </w:r>
    </w:p>
    <w:p w14:paraId="04AAC8F9" w14:textId="785C8867" w:rsidR="00044919" w:rsidRPr="001100D5" w:rsidRDefault="00F53DF0">
      <w:r w:rsidRPr="001100D5">
        <w:rPr>
          <w:sz w:val="36"/>
          <w:szCs w:val="36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val="it-IT"/>
        </w:rPr>
        <w:id w:val="309677863"/>
        <w:docPartObj>
          <w:docPartGallery w:val="Table of Contents"/>
          <w:docPartUnique/>
        </w:docPartObj>
      </w:sdtPr>
      <w:sdtEndPr>
        <w:rPr>
          <w:b/>
          <w:bCs/>
          <w:noProof/>
          <w:sz w:val="24"/>
          <w:szCs w:val="24"/>
        </w:rPr>
      </w:sdtEndPr>
      <w:sdtContent>
        <w:p w14:paraId="26EC9DB3" w14:textId="4E5EEDCF" w:rsidR="00044919" w:rsidRPr="001100D5" w:rsidRDefault="00044919">
          <w:pPr>
            <w:pStyle w:val="TOCHeading"/>
            <w:rPr>
              <w:rFonts w:ascii="Times New Roman" w:hAnsi="Times New Roman" w:cs="Times New Roman"/>
              <w:b/>
              <w:bCs/>
              <w:color w:val="auto"/>
              <w:lang w:val="it-IT"/>
            </w:rPr>
          </w:pPr>
          <w:r w:rsidRPr="001100D5">
            <w:rPr>
              <w:rFonts w:ascii="Times New Roman" w:hAnsi="Times New Roman" w:cs="Times New Roman"/>
              <w:b/>
              <w:bCs/>
              <w:color w:val="auto"/>
              <w:lang w:val="it-IT"/>
            </w:rPr>
            <w:t>Sommario</w:t>
          </w:r>
        </w:p>
        <w:p w14:paraId="2AD60A3F" w14:textId="77777777" w:rsidR="00044919" w:rsidRPr="001100D5" w:rsidRDefault="00044919" w:rsidP="00044919">
          <w:pPr>
            <w:rPr>
              <w:sz w:val="24"/>
              <w:szCs w:val="24"/>
            </w:rPr>
          </w:pPr>
        </w:p>
        <w:p w14:paraId="2C7C2D14" w14:textId="6E431EA6" w:rsidR="00C7743D" w:rsidRDefault="00044919">
          <w:pPr>
            <w:pStyle w:val="TOC1"/>
            <w:tabs>
              <w:tab w:val="left" w:pos="44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r w:rsidRPr="001100D5">
            <w:rPr>
              <w:sz w:val="24"/>
              <w:szCs w:val="24"/>
            </w:rPr>
            <w:fldChar w:fldCharType="begin"/>
          </w:r>
          <w:r w:rsidRPr="001100D5">
            <w:rPr>
              <w:sz w:val="24"/>
              <w:szCs w:val="24"/>
            </w:rPr>
            <w:instrText xml:space="preserve"> TOC \o "1-3" \h \z \u </w:instrText>
          </w:r>
          <w:r w:rsidRPr="001100D5">
            <w:rPr>
              <w:sz w:val="24"/>
              <w:szCs w:val="24"/>
            </w:rPr>
            <w:fldChar w:fldCharType="separate"/>
          </w:r>
          <w:hyperlink w:anchor="_Toc177384156" w:history="1">
            <w:r w:rsidR="00C7743D" w:rsidRPr="00C2293E">
              <w:rPr>
                <w:rStyle w:val="Hyperlink"/>
                <w:rFonts w:eastAsiaTheme="majorEastAsia"/>
                <w:noProof/>
              </w:rPr>
              <w:t>1</w:t>
            </w:r>
            <w:r w:rsidR="00C7743D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C7743D" w:rsidRPr="00C2293E">
              <w:rPr>
                <w:rStyle w:val="Hyperlink"/>
                <w:rFonts w:eastAsiaTheme="majorEastAsia"/>
                <w:noProof/>
              </w:rPr>
              <w:t>DATI</w:t>
            </w:r>
            <w:r w:rsidR="00C7743D" w:rsidRPr="00C2293E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C7743D" w:rsidRPr="00C2293E">
              <w:rPr>
                <w:rStyle w:val="Hyperlink"/>
                <w:rFonts w:eastAsiaTheme="majorEastAsia"/>
                <w:noProof/>
              </w:rPr>
              <w:t>IDENTIFICATIVI</w:t>
            </w:r>
            <w:r w:rsidR="00C7743D" w:rsidRPr="00C2293E">
              <w:rPr>
                <w:rStyle w:val="Hyperlink"/>
                <w:rFonts w:eastAsiaTheme="majorEastAsia"/>
                <w:noProof/>
                <w:spacing w:val="-5"/>
              </w:rPr>
              <w:t xml:space="preserve"> </w:t>
            </w:r>
            <w:r w:rsidR="00C7743D" w:rsidRPr="00C2293E">
              <w:rPr>
                <w:rStyle w:val="Hyperlink"/>
                <w:rFonts w:eastAsiaTheme="majorEastAsia"/>
                <w:noProof/>
              </w:rPr>
              <w:t>DEL</w:t>
            </w:r>
            <w:r w:rsidR="00C7743D" w:rsidRPr="00C2293E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C7743D" w:rsidRPr="00C2293E">
              <w:rPr>
                <w:rStyle w:val="Hyperlink"/>
                <w:rFonts w:eastAsiaTheme="majorEastAsia"/>
                <w:noProof/>
              </w:rPr>
              <w:t>CONTRATTO</w:t>
            </w:r>
            <w:r w:rsidR="00C7743D">
              <w:rPr>
                <w:noProof/>
                <w:webHidden/>
              </w:rPr>
              <w:tab/>
            </w:r>
            <w:r w:rsidR="00C7743D">
              <w:rPr>
                <w:noProof/>
                <w:webHidden/>
              </w:rPr>
              <w:fldChar w:fldCharType="begin"/>
            </w:r>
            <w:r w:rsidR="00C7743D">
              <w:rPr>
                <w:noProof/>
                <w:webHidden/>
              </w:rPr>
              <w:instrText xml:space="preserve"> PAGEREF _Toc177384156 \h </w:instrText>
            </w:r>
            <w:r w:rsidR="00C7743D">
              <w:rPr>
                <w:noProof/>
                <w:webHidden/>
              </w:rPr>
            </w:r>
            <w:r w:rsidR="00C7743D">
              <w:rPr>
                <w:noProof/>
                <w:webHidden/>
              </w:rPr>
              <w:fldChar w:fldCharType="separate"/>
            </w:r>
            <w:r w:rsidR="00C7743D">
              <w:rPr>
                <w:noProof/>
                <w:webHidden/>
              </w:rPr>
              <w:t>3</w:t>
            </w:r>
            <w:r w:rsidR="00C7743D">
              <w:rPr>
                <w:noProof/>
                <w:webHidden/>
              </w:rPr>
              <w:fldChar w:fldCharType="end"/>
            </w:r>
          </w:hyperlink>
        </w:p>
        <w:p w14:paraId="32DA187B" w14:textId="19505892" w:rsidR="00C7743D" w:rsidRDefault="00C8209F">
          <w:pPr>
            <w:pStyle w:val="TOC1"/>
            <w:tabs>
              <w:tab w:val="left" w:pos="44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4157" w:history="1">
            <w:r w:rsidR="00C7743D" w:rsidRPr="00C2293E">
              <w:rPr>
                <w:rStyle w:val="Hyperlink"/>
                <w:rFonts w:eastAsiaTheme="majorEastAsia"/>
                <w:noProof/>
              </w:rPr>
              <w:t>2</w:t>
            </w:r>
            <w:r w:rsidR="00C7743D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C7743D" w:rsidRPr="00C2293E">
              <w:rPr>
                <w:rStyle w:val="Hyperlink"/>
                <w:rFonts w:eastAsiaTheme="majorEastAsia"/>
                <w:noProof/>
              </w:rPr>
              <w:t>INTRODUZIONE</w:t>
            </w:r>
            <w:r w:rsidR="00C7743D">
              <w:rPr>
                <w:noProof/>
                <w:webHidden/>
              </w:rPr>
              <w:tab/>
            </w:r>
            <w:r w:rsidR="00C7743D">
              <w:rPr>
                <w:noProof/>
                <w:webHidden/>
              </w:rPr>
              <w:fldChar w:fldCharType="begin"/>
            </w:r>
            <w:r w:rsidR="00C7743D">
              <w:rPr>
                <w:noProof/>
                <w:webHidden/>
              </w:rPr>
              <w:instrText xml:space="preserve"> PAGEREF _Toc177384157 \h </w:instrText>
            </w:r>
            <w:r w:rsidR="00C7743D">
              <w:rPr>
                <w:noProof/>
                <w:webHidden/>
              </w:rPr>
            </w:r>
            <w:r w:rsidR="00C7743D">
              <w:rPr>
                <w:noProof/>
                <w:webHidden/>
              </w:rPr>
              <w:fldChar w:fldCharType="separate"/>
            </w:r>
            <w:r w:rsidR="00C7743D">
              <w:rPr>
                <w:noProof/>
                <w:webHidden/>
              </w:rPr>
              <w:t>4</w:t>
            </w:r>
            <w:r w:rsidR="00C7743D">
              <w:rPr>
                <w:noProof/>
                <w:webHidden/>
              </w:rPr>
              <w:fldChar w:fldCharType="end"/>
            </w:r>
          </w:hyperlink>
        </w:p>
        <w:p w14:paraId="73E9F3B5" w14:textId="7633EBAF" w:rsidR="00C7743D" w:rsidRDefault="00C8209F">
          <w:pPr>
            <w:pStyle w:val="TOC2"/>
            <w:tabs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4158" w:history="1">
            <w:r w:rsidR="00C7743D" w:rsidRPr="00C2293E">
              <w:rPr>
                <w:rStyle w:val="Hyperlink"/>
                <w:rFonts w:eastAsiaTheme="majorEastAsia"/>
                <w:noProof/>
              </w:rPr>
              <w:t>2.1 BREVE</w:t>
            </w:r>
            <w:r w:rsidR="00C7743D" w:rsidRPr="00C2293E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C7743D" w:rsidRPr="00C2293E">
              <w:rPr>
                <w:rStyle w:val="Hyperlink"/>
                <w:rFonts w:eastAsiaTheme="majorEastAsia"/>
                <w:noProof/>
              </w:rPr>
              <w:t>DESCRIZIONE</w:t>
            </w:r>
            <w:r w:rsidR="00C7743D" w:rsidRPr="00C2293E">
              <w:rPr>
                <w:rStyle w:val="Hyperlink"/>
                <w:rFonts w:eastAsiaTheme="majorEastAsia"/>
                <w:noProof/>
                <w:spacing w:val="-3"/>
              </w:rPr>
              <w:t xml:space="preserve"> </w:t>
            </w:r>
            <w:r w:rsidR="00C7743D" w:rsidRPr="00C2293E">
              <w:rPr>
                <w:rStyle w:val="Hyperlink"/>
                <w:rFonts w:eastAsiaTheme="majorEastAsia"/>
                <w:noProof/>
              </w:rPr>
              <w:t>DEL</w:t>
            </w:r>
            <w:r w:rsidR="00C7743D" w:rsidRPr="00C2293E">
              <w:rPr>
                <w:rStyle w:val="Hyperlink"/>
                <w:rFonts w:eastAsiaTheme="majorEastAsia"/>
                <w:noProof/>
                <w:spacing w:val="-5"/>
              </w:rPr>
              <w:t xml:space="preserve"> </w:t>
            </w:r>
            <w:r w:rsidR="00C7743D" w:rsidRPr="00C2293E">
              <w:rPr>
                <w:rStyle w:val="Hyperlink"/>
                <w:rFonts w:eastAsiaTheme="majorEastAsia"/>
                <w:noProof/>
              </w:rPr>
              <w:t>CONTRATTO</w:t>
            </w:r>
            <w:r w:rsidR="00C7743D" w:rsidRPr="00C2293E">
              <w:rPr>
                <w:rStyle w:val="Hyperlink"/>
                <w:rFonts w:eastAsiaTheme="majorEastAsia"/>
                <w:noProof/>
                <w:spacing w:val="-3"/>
              </w:rPr>
              <w:t xml:space="preserve"> </w:t>
            </w:r>
            <w:r w:rsidR="00C7743D" w:rsidRPr="00C2293E">
              <w:rPr>
                <w:rStyle w:val="Hyperlink"/>
                <w:rFonts w:eastAsiaTheme="majorEastAsia"/>
                <w:noProof/>
              </w:rPr>
              <w:t>E</w:t>
            </w:r>
            <w:r w:rsidR="00C7743D" w:rsidRPr="00C2293E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C7743D" w:rsidRPr="00C2293E">
              <w:rPr>
                <w:rStyle w:val="Hyperlink"/>
                <w:rFonts w:eastAsiaTheme="majorEastAsia"/>
                <w:noProof/>
              </w:rPr>
              <w:t>DEGLI</w:t>
            </w:r>
            <w:r w:rsidR="00C7743D" w:rsidRPr="00C2293E">
              <w:rPr>
                <w:rStyle w:val="Hyperlink"/>
                <w:rFonts w:eastAsiaTheme="majorEastAsia"/>
                <w:noProof/>
                <w:spacing w:val="-3"/>
              </w:rPr>
              <w:t xml:space="preserve"> </w:t>
            </w:r>
            <w:r w:rsidR="00C7743D" w:rsidRPr="00C2293E">
              <w:rPr>
                <w:rStyle w:val="Hyperlink"/>
                <w:rFonts w:eastAsiaTheme="majorEastAsia"/>
                <w:noProof/>
              </w:rPr>
              <w:t>EVENTUALI</w:t>
            </w:r>
            <w:r w:rsidR="00C7743D" w:rsidRPr="00C2293E">
              <w:rPr>
                <w:rStyle w:val="Hyperlink"/>
                <w:rFonts w:eastAsiaTheme="majorEastAsia"/>
                <w:noProof/>
                <w:spacing w:val="-1"/>
              </w:rPr>
              <w:t xml:space="preserve"> </w:t>
            </w:r>
            <w:r w:rsidR="00C7743D" w:rsidRPr="00C2293E">
              <w:rPr>
                <w:rStyle w:val="Hyperlink"/>
                <w:rFonts w:eastAsiaTheme="majorEastAsia"/>
                <w:noProof/>
              </w:rPr>
              <w:t>ATTI</w:t>
            </w:r>
            <w:r w:rsidR="00C7743D" w:rsidRPr="00C2293E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C7743D" w:rsidRPr="00C2293E">
              <w:rPr>
                <w:rStyle w:val="Hyperlink"/>
                <w:rFonts w:eastAsiaTheme="majorEastAsia"/>
                <w:noProof/>
              </w:rPr>
              <w:t>COLLEGATI</w:t>
            </w:r>
            <w:r w:rsidR="00C7743D">
              <w:rPr>
                <w:noProof/>
                <w:webHidden/>
              </w:rPr>
              <w:tab/>
            </w:r>
            <w:r w:rsidR="00C7743D">
              <w:rPr>
                <w:noProof/>
                <w:webHidden/>
              </w:rPr>
              <w:fldChar w:fldCharType="begin"/>
            </w:r>
            <w:r w:rsidR="00C7743D">
              <w:rPr>
                <w:noProof/>
                <w:webHidden/>
              </w:rPr>
              <w:instrText xml:space="preserve"> PAGEREF _Toc177384158 \h </w:instrText>
            </w:r>
            <w:r w:rsidR="00C7743D">
              <w:rPr>
                <w:noProof/>
                <w:webHidden/>
              </w:rPr>
            </w:r>
            <w:r w:rsidR="00C7743D">
              <w:rPr>
                <w:noProof/>
                <w:webHidden/>
              </w:rPr>
              <w:fldChar w:fldCharType="separate"/>
            </w:r>
            <w:r w:rsidR="00C7743D">
              <w:rPr>
                <w:noProof/>
                <w:webHidden/>
              </w:rPr>
              <w:t>4</w:t>
            </w:r>
            <w:r w:rsidR="00C7743D">
              <w:rPr>
                <w:noProof/>
                <w:webHidden/>
              </w:rPr>
              <w:fldChar w:fldCharType="end"/>
            </w:r>
          </w:hyperlink>
        </w:p>
        <w:p w14:paraId="71375C77" w14:textId="31916C9C" w:rsidR="00C7743D" w:rsidRDefault="00C8209F">
          <w:pPr>
            <w:pStyle w:val="TOC2"/>
            <w:tabs>
              <w:tab w:val="left" w:pos="96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4159" w:history="1">
            <w:r w:rsidR="00C7743D" w:rsidRPr="00C2293E">
              <w:rPr>
                <w:rStyle w:val="Hyperlink"/>
                <w:rFonts w:eastAsiaTheme="majorEastAsia"/>
                <w:noProof/>
              </w:rPr>
              <w:t>2.2</w:t>
            </w:r>
            <w:r w:rsidR="00C7743D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C7743D" w:rsidRPr="00C2293E">
              <w:rPr>
                <w:rStyle w:val="Hyperlink"/>
                <w:rFonts w:eastAsiaTheme="majorEastAsia"/>
                <w:noProof/>
              </w:rPr>
              <w:t>BREVE DESCRIZIONE DEI SERVIZI CONTRATTUALI</w:t>
            </w:r>
            <w:r w:rsidR="00C7743D">
              <w:rPr>
                <w:noProof/>
                <w:webHidden/>
              </w:rPr>
              <w:tab/>
            </w:r>
            <w:r w:rsidR="00C7743D">
              <w:rPr>
                <w:noProof/>
                <w:webHidden/>
              </w:rPr>
              <w:fldChar w:fldCharType="begin"/>
            </w:r>
            <w:r w:rsidR="00C7743D">
              <w:rPr>
                <w:noProof/>
                <w:webHidden/>
              </w:rPr>
              <w:instrText xml:space="preserve"> PAGEREF _Toc177384159 \h </w:instrText>
            </w:r>
            <w:r w:rsidR="00C7743D">
              <w:rPr>
                <w:noProof/>
                <w:webHidden/>
              </w:rPr>
            </w:r>
            <w:r w:rsidR="00C7743D">
              <w:rPr>
                <w:noProof/>
                <w:webHidden/>
              </w:rPr>
              <w:fldChar w:fldCharType="separate"/>
            </w:r>
            <w:r w:rsidR="00C7743D">
              <w:rPr>
                <w:noProof/>
                <w:webHidden/>
              </w:rPr>
              <w:t>4</w:t>
            </w:r>
            <w:r w:rsidR="00C7743D">
              <w:rPr>
                <w:noProof/>
                <w:webHidden/>
              </w:rPr>
              <w:fldChar w:fldCharType="end"/>
            </w:r>
          </w:hyperlink>
        </w:p>
        <w:p w14:paraId="73E328DA" w14:textId="7647A6D2" w:rsidR="00C7743D" w:rsidRDefault="00C8209F">
          <w:pPr>
            <w:pStyle w:val="TOC3"/>
            <w:tabs>
              <w:tab w:val="left" w:pos="120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4160" w:history="1">
            <w:r w:rsidR="00C7743D" w:rsidRPr="00C2293E">
              <w:rPr>
                <w:rStyle w:val="Hyperlink"/>
                <w:noProof/>
              </w:rPr>
              <w:t>2.2.1</w:t>
            </w:r>
            <w:r w:rsidR="00C7743D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C7743D" w:rsidRPr="00C2293E">
              <w:rPr>
                <w:rStyle w:val="Hyperlink"/>
                <w:rFonts w:eastAsiaTheme="majorEastAsia"/>
                <w:noProof/>
              </w:rPr>
              <w:t>SVILUPPO</w:t>
            </w:r>
            <w:r w:rsidR="00C7743D" w:rsidRPr="00C2293E">
              <w:rPr>
                <w:rStyle w:val="Hyperlink"/>
                <w:noProof/>
              </w:rPr>
              <w:t xml:space="preserve"> E MANUTENZIONE EVOLUTIVA DEL SOFTWARE (SVI)</w:t>
            </w:r>
            <w:r w:rsidR="00C7743D">
              <w:rPr>
                <w:noProof/>
                <w:webHidden/>
              </w:rPr>
              <w:tab/>
            </w:r>
            <w:r w:rsidR="00C7743D">
              <w:rPr>
                <w:noProof/>
                <w:webHidden/>
              </w:rPr>
              <w:fldChar w:fldCharType="begin"/>
            </w:r>
            <w:r w:rsidR="00C7743D">
              <w:rPr>
                <w:noProof/>
                <w:webHidden/>
              </w:rPr>
              <w:instrText xml:space="preserve"> PAGEREF _Toc177384160 \h </w:instrText>
            </w:r>
            <w:r w:rsidR="00C7743D">
              <w:rPr>
                <w:noProof/>
                <w:webHidden/>
              </w:rPr>
            </w:r>
            <w:r w:rsidR="00C7743D">
              <w:rPr>
                <w:noProof/>
                <w:webHidden/>
              </w:rPr>
              <w:fldChar w:fldCharType="separate"/>
            </w:r>
            <w:r w:rsidR="00C7743D">
              <w:rPr>
                <w:noProof/>
                <w:webHidden/>
              </w:rPr>
              <w:t>4</w:t>
            </w:r>
            <w:r w:rsidR="00C7743D">
              <w:rPr>
                <w:noProof/>
                <w:webHidden/>
              </w:rPr>
              <w:fldChar w:fldCharType="end"/>
            </w:r>
          </w:hyperlink>
        </w:p>
        <w:p w14:paraId="6CA33B7D" w14:textId="0173BCFA" w:rsidR="00C7743D" w:rsidRDefault="00C8209F">
          <w:pPr>
            <w:pStyle w:val="TOC3"/>
            <w:tabs>
              <w:tab w:val="left" w:pos="120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4161" w:history="1">
            <w:r w:rsidR="00C7743D" w:rsidRPr="00C2293E">
              <w:rPr>
                <w:rStyle w:val="Hyperlink"/>
                <w:noProof/>
              </w:rPr>
              <w:t>2.2.2</w:t>
            </w:r>
            <w:r w:rsidR="00C7743D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C7743D" w:rsidRPr="00C2293E">
              <w:rPr>
                <w:rStyle w:val="Hyperlink"/>
                <w:noProof/>
              </w:rPr>
              <w:t>MANUTENZIONE CORRETTIVA SUL SOFTWARE AD HOC “PREGRESSO E NON IN GARANZIA” (MAC)</w:t>
            </w:r>
            <w:r w:rsidR="00C7743D">
              <w:rPr>
                <w:noProof/>
                <w:webHidden/>
              </w:rPr>
              <w:tab/>
            </w:r>
            <w:r w:rsidR="00C7743D">
              <w:rPr>
                <w:noProof/>
                <w:webHidden/>
              </w:rPr>
              <w:fldChar w:fldCharType="begin"/>
            </w:r>
            <w:r w:rsidR="00C7743D">
              <w:rPr>
                <w:noProof/>
                <w:webHidden/>
              </w:rPr>
              <w:instrText xml:space="preserve"> PAGEREF _Toc177384161 \h </w:instrText>
            </w:r>
            <w:r w:rsidR="00C7743D">
              <w:rPr>
                <w:noProof/>
                <w:webHidden/>
              </w:rPr>
            </w:r>
            <w:r w:rsidR="00C7743D">
              <w:rPr>
                <w:noProof/>
                <w:webHidden/>
              </w:rPr>
              <w:fldChar w:fldCharType="separate"/>
            </w:r>
            <w:r w:rsidR="00C7743D">
              <w:rPr>
                <w:noProof/>
                <w:webHidden/>
              </w:rPr>
              <w:t>5</w:t>
            </w:r>
            <w:r w:rsidR="00C7743D">
              <w:rPr>
                <w:noProof/>
                <w:webHidden/>
              </w:rPr>
              <w:fldChar w:fldCharType="end"/>
            </w:r>
          </w:hyperlink>
        </w:p>
        <w:p w14:paraId="4D2E13D5" w14:textId="26B90819" w:rsidR="00C7743D" w:rsidRDefault="00C8209F">
          <w:pPr>
            <w:pStyle w:val="TOC3"/>
            <w:tabs>
              <w:tab w:val="left" w:pos="120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4162" w:history="1">
            <w:r w:rsidR="00C7743D" w:rsidRPr="00C2293E">
              <w:rPr>
                <w:rStyle w:val="Hyperlink"/>
                <w:noProof/>
              </w:rPr>
              <w:t>2.2.3</w:t>
            </w:r>
            <w:r w:rsidR="00C7743D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C7743D" w:rsidRPr="00C2293E">
              <w:rPr>
                <w:rStyle w:val="Hyperlink"/>
                <w:noProof/>
              </w:rPr>
              <w:t>SUPPORTO TECNICO-SPECIALISTICO ICT (SS)</w:t>
            </w:r>
            <w:r w:rsidR="00C7743D">
              <w:rPr>
                <w:noProof/>
                <w:webHidden/>
              </w:rPr>
              <w:tab/>
            </w:r>
            <w:r w:rsidR="00C7743D">
              <w:rPr>
                <w:noProof/>
                <w:webHidden/>
              </w:rPr>
              <w:fldChar w:fldCharType="begin"/>
            </w:r>
            <w:r w:rsidR="00C7743D">
              <w:rPr>
                <w:noProof/>
                <w:webHidden/>
              </w:rPr>
              <w:instrText xml:space="preserve"> PAGEREF _Toc177384162 \h </w:instrText>
            </w:r>
            <w:r w:rsidR="00C7743D">
              <w:rPr>
                <w:noProof/>
                <w:webHidden/>
              </w:rPr>
            </w:r>
            <w:r w:rsidR="00C7743D">
              <w:rPr>
                <w:noProof/>
                <w:webHidden/>
              </w:rPr>
              <w:fldChar w:fldCharType="separate"/>
            </w:r>
            <w:r w:rsidR="00C7743D">
              <w:rPr>
                <w:noProof/>
                <w:webHidden/>
              </w:rPr>
              <w:t>5</w:t>
            </w:r>
            <w:r w:rsidR="00C7743D">
              <w:rPr>
                <w:noProof/>
                <w:webHidden/>
              </w:rPr>
              <w:fldChar w:fldCharType="end"/>
            </w:r>
          </w:hyperlink>
        </w:p>
        <w:p w14:paraId="7BBBC218" w14:textId="1E7D6D4A" w:rsidR="00C7743D" w:rsidRDefault="00C8209F">
          <w:pPr>
            <w:pStyle w:val="TOC3"/>
            <w:tabs>
              <w:tab w:val="left" w:pos="120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4163" w:history="1">
            <w:r w:rsidR="00C7743D" w:rsidRPr="00C2293E">
              <w:rPr>
                <w:rStyle w:val="Hyperlink"/>
                <w:noProof/>
              </w:rPr>
              <w:t>2.2.4</w:t>
            </w:r>
            <w:r w:rsidR="00C7743D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C7743D" w:rsidRPr="00C2293E">
              <w:rPr>
                <w:rStyle w:val="Hyperlink"/>
                <w:noProof/>
              </w:rPr>
              <w:t>GESTIONE DEL PORTAFOGLIO APPLICATIVO (GA)</w:t>
            </w:r>
            <w:r w:rsidR="00C7743D">
              <w:rPr>
                <w:noProof/>
                <w:webHidden/>
              </w:rPr>
              <w:tab/>
            </w:r>
            <w:r w:rsidR="00C7743D">
              <w:rPr>
                <w:noProof/>
                <w:webHidden/>
              </w:rPr>
              <w:fldChar w:fldCharType="begin"/>
            </w:r>
            <w:r w:rsidR="00C7743D">
              <w:rPr>
                <w:noProof/>
                <w:webHidden/>
              </w:rPr>
              <w:instrText xml:space="preserve"> PAGEREF _Toc177384163 \h </w:instrText>
            </w:r>
            <w:r w:rsidR="00C7743D">
              <w:rPr>
                <w:noProof/>
                <w:webHidden/>
              </w:rPr>
            </w:r>
            <w:r w:rsidR="00C7743D">
              <w:rPr>
                <w:noProof/>
                <w:webHidden/>
              </w:rPr>
              <w:fldChar w:fldCharType="separate"/>
            </w:r>
            <w:r w:rsidR="00C7743D">
              <w:rPr>
                <w:noProof/>
                <w:webHidden/>
              </w:rPr>
              <w:t>6</w:t>
            </w:r>
            <w:r w:rsidR="00C7743D">
              <w:rPr>
                <w:noProof/>
                <w:webHidden/>
              </w:rPr>
              <w:fldChar w:fldCharType="end"/>
            </w:r>
          </w:hyperlink>
        </w:p>
        <w:p w14:paraId="6D120C40" w14:textId="1BEFCEB2" w:rsidR="00C7743D" w:rsidRDefault="00C8209F">
          <w:pPr>
            <w:pStyle w:val="TOC2"/>
            <w:tabs>
              <w:tab w:val="left" w:pos="96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4164" w:history="1">
            <w:r w:rsidR="00C7743D" w:rsidRPr="00C2293E">
              <w:rPr>
                <w:rStyle w:val="Hyperlink"/>
                <w:rFonts w:eastAsiaTheme="majorEastAsia"/>
                <w:noProof/>
              </w:rPr>
              <w:t>2.3</w:t>
            </w:r>
            <w:r w:rsidR="00C7743D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C7743D" w:rsidRPr="00C2293E">
              <w:rPr>
                <w:rStyle w:val="Hyperlink"/>
                <w:rFonts w:eastAsiaTheme="majorEastAsia"/>
                <w:noProof/>
              </w:rPr>
              <w:t>BREVE DESCRIZIONE DEI PRODOTTI/SERVIZI REALIZZATI E COLLAUDATI</w:t>
            </w:r>
            <w:r w:rsidR="00C7743D">
              <w:rPr>
                <w:noProof/>
                <w:webHidden/>
              </w:rPr>
              <w:tab/>
            </w:r>
            <w:r w:rsidR="00C7743D">
              <w:rPr>
                <w:noProof/>
                <w:webHidden/>
              </w:rPr>
              <w:fldChar w:fldCharType="begin"/>
            </w:r>
            <w:r w:rsidR="00C7743D">
              <w:rPr>
                <w:noProof/>
                <w:webHidden/>
              </w:rPr>
              <w:instrText xml:space="preserve"> PAGEREF _Toc177384164 \h </w:instrText>
            </w:r>
            <w:r w:rsidR="00C7743D">
              <w:rPr>
                <w:noProof/>
                <w:webHidden/>
              </w:rPr>
            </w:r>
            <w:r w:rsidR="00C7743D">
              <w:rPr>
                <w:noProof/>
                <w:webHidden/>
              </w:rPr>
              <w:fldChar w:fldCharType="separate"/>
            </w:r>
            <w:r w:rsidR="00C7743D">
              <w:rPr>
                <w:noProof/>
                <w:webHidden/>
              </w:rPr>
              <w:t>6</w:t>
            </w:r>
            <w:r w:rsidR="00C7743D">
              <w:rPr>
                <w:noProof/>
                <w:webHidden/>
              </w:rPr>
              <w:fldChar w:fldCharType="end"/>
            </w:r>
          </w:hyperlink>
        </w:p>
        <w:p w14:paraId="686CE510" w14:textId="35A85AFC" w:rsidR="00C7743D" w:rsidRDefault="00C8209F">
          <w:pPr>
            <w:pStyle w:val="TOC2"/>
            <w:tabs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4165" w:history="1">
            <w:r w:rsidR="00C7743D" w:rsidRPr="00C2293E">
              <w:rPr>
                <w:rStyle w:val="Hyperlink"/>
                <w:rFonts w:eastAsiaTheme="majorEastAsia"/>
                <w:noProof/>
              </w:rPr>
              <w:t>Si riportano di seguito i PLO e le MEV collaudate da inizio contratto:</w:t>
            </w:r>
            <w:r w:rsidR="00C7743D">
              <w:rPr>
                <w:noProof/>
                <w:webHidden/>
              </w:rPr>
              <w:tab/>
            </w:r>
            <w:r w:rsidR="00C7743D">
              <w:rPr>
                <w:noProof/>
                <w:webHidden/>
              </w:rPr>
              <w:fldChar w:fldCharType="begin"/>
            </w:r>
            <w:r w:rsidR="00C7743D">
              <w:rPr>
                <w:noProof/>
                <w:webHidden/>
              </w:rPr>
              <w:instrText xml:space="preserve"> PAGEREF _Toc177384165 \h </w:instrText>
            </w:r>
            <w:r w:rsidR="00C7743D">
              <w:rPr>
                <w:noProof/>
                <w:webHidden/>
              </w:rPr>
            </w:r>
            <w:r w:rsidR="00C7743D">
              <w:rPr>
                <w:noProof/>
                <w:webHidden/>
              </w:rPr>
              <w:fldChar w:fldCharType="separate"/>
            </w:r>
            <w:r w:rsidR="00C7743D">
              <w:rPr>
                <w:noProof/>
                <w:webHidden/>
              </w:rPr>
              <w:t>6</w:t>
            </w:r>
            <w:r w:rsidR="00C7743D">
              <w:rPr>
                <w:noProof/>
                <w:webHidden/>
              </w:rPr>
              <w:fldChar w:fldCharType="end"/>
            </w:r>
          </w:hyperlink>
        </w:p>
        <w:p w14:paraId="349C93B8" w14:textId="2D21DCAB" w:rsidR="00C7743D" w:rsidRDefault="00C8209F">
          <w:pPr>
            <w:pStyle w:val="TOC2"/>
            <w:tabs>
              <w:tab w:val="left" w:pos="96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4166" w:history="1">
            <w:r w:rsidR="00C7743D" w:rsidRPr="00C2293E">
              <w:rPr>
                <w:rStyle w:val="Hyperlink"/>
                <w:rFonts w:eastAsiaTheme="majorEastAsia"/>
                <w:noProof/>
              </w:rPr>
              <w:t>2.4</w:t>
            </w:r>
            <w:r w:rsidR="00C7743D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C7743D" w:rsidRPr="00C2293E">
              <w:rPr>
                <w:rStyle w:val="Hyperlink"/>
                <w:rFonts w:eastAsiaTheme="majorEastAsia"/>
                <w:noProof/>
              </w:rPr>
              <w:t>BREVE DESCRIZIONE ATTIVITÀ DI MONITORAGGIO SVOLTE</w:t>
            </w:r>
            <w:r w:rsidR="00C7743D">
              <w:rPr>
                <w:noProof/>
                <w:webHidden/>
              </w:rPr>
              <w:tab/>
            </w:r>
            <w:r w:rsidR="00C7743D">
              <w:rPr>
                <w:noProof/>
                <w:webHidden/>
              </w:rPr>
              <w:fldChar w:fldCharType="begin"/>
            </w:r>
            <w:r w:rsidR="00C7743D">
              <w:rPr>
                <w:noProof/>
                <w:webHidden/>
              </w:rPr>
              <w:instrText xml:space="preserve"> PAGEREF _Toc177384166 \h </w:instrText>
            </w:r>
            <w:r w:rsidR="00C7743D">
              <w:rPr>
                <w:noProof/>
                <w:webHidden/>
              </w:rPr>
            </w:r>
            <w:r w:rsidR="00C7743D">
              <w:rPr>
                <w:noProof/>
                <w:webHidden/>
              </w:rPr>
              <w:fldChar w:fldCharType="separate"/>
            </w:r>
            <w:r w:rsidR="00C7743D">
              <w:rPr>
                <w:noProof/>
                <w:webHidden/>
              </w:rPr>
              <w:t>6</w:t>
            </w:r>
            <w:r w:rsidR="00C7743D">
              <w:rPr>
                <w:noProof/>
                <w:webHidden/>
              </w:rPr>
              <w:fldChar w:fldCharType="end"/>
            </w:r>
          </w:hyperlink>
        </w:p>
        <w:p w14:paraId="75DBCBD0" w14:textId="4A08904A" w:rsidR="00C7743D" w:rsidRDefault="00C8209F">
          <w:pPr>
            <w:pStyle w:val="TOC1"/>
            <w:tabs>
              <w:tab w:val="left" w:pos="44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4167" w:history="1">
            <w:r w:rsidR="00C7743D" w:rsidRPr="00C2293E">
              <w:rPr>
                <w:rStyle w:val="Hyperlink"/>
                <w:rFonts w:eastAsiaTheme="majorEastAsia"/>
                <w:noProof/>
              </w:rPr>
              <w:t>3</w:t>
            </w:r>
            <w:r w:rsidR="00C7743D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C7743D" w:rsidRPr="00C2293E">
              <w:rPr>
                <w:rStyle w:val="Hyperlink"/>
                <w:rFonts w:eastAsiaTheme="majorEastAsia"/>
                <w:noProof/>
              </w:rPr>
              <w:t>SINTESI</w:t>
            </w:r>
            <w:r w:rsidR="00C7743D" w:rsidRPr="00C2293E">
              <w:rPr>
                <w:rStyle w:val="Hyperlink"/>
                <w:rFonts w:eastAsiaTheme="majorEastAsia"/>
                <w:noProof/>
                <w:spacing w:val="-6"/>
              </w:rPr>
              <w:t xml:space="preserve"> </w:t>
            </w:r>
            <w:r w:rsidR="00C7743D" w:rsidRPr="00C2293E">
              <w:rPr>
                <w:rStyle w:val="Hyperlink"/>
                <w:rFonts w:eastAsiaTheme="majorEastAsia"/>
                <w:noProof/>
              </w:rPr>
              <w:t>PER</w:t>
            </w:r>
            <w:r w:rsidR="00C7743D" w:rsidRPr="00C2293E">
              <w:rPr>
                <w:rStyle w:val="Hyperlink"/>
                <w:rFonts w:eastAsiaTheme="majorEastAsia"/>
                <w:noProof/>
                <w:spacing w:val="-5"/>
              </w:rPr>
              <w:t xml:space="preserve"> </w:t>
            </w:r>
            <w:r w:rsidR="00C7743D" w:rsidRPr="00C2293E">
              <w:rPr>
                <w:rStyle w:val="Hyperlink"/>
                <w:rFonts w:eastAsiaTheme="majorEastAsia"/>
                <w:noProof/>
              </w:rPr>
              <w:t>L’ALTA</w:t>
            </w:r>
            <w:r w:rsidR="00C7743D" w:rsidRPr="00C2293E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C7743D" w:rsidRPr="00C2293E">
              <w:rPr>
                <w:rStyle w:val="Hyperlink"/>
                <w:rFonts w:eastAsiaTheme="majorEastAsia"/>
                <w:noProof/>
              </w:rPr>
              <w:t>DIREZIONE</w:t>
            </w:r>
            <w:r w:rsidR="00C7743D">
              <w:rPr>
                <w:noProof/>
                <w:webHidden/>
              </w:rPr>
              <w:tab/>
            </w:r>
            <w:r w:rsidR="00C7743D">
              <w:rPr>
                <w:noProof/>
                <w:webHidden/>
              </w:rPr>
              <w:fldChar w:fldCharType="begin"/>
            </w:r>
            <w:r w:rsidR="00C7743D">
              <w:rPr>
                <w:noProof/>
                <w:webHidden/>
              </w:rPr>
              <w:instrText xml:space="preserve"> PAGEREF _Toc177384167 \h </w:instrText>
            </w:r>
            <w:r w:rsidR="00C7743D">
              <w:rPr>
                <w:noProof/>
                <w:webHidden/>
              </w:rPr>
            </w:r>
            <w:r w:rsidR="00C7743D">
              <w:rPr>
                <w:noProof/>
                <w:webHidden/>
              </w:rPr>
              <w:fldChar w:fldCharType="separate"/>
            </w:r>
            <w:r w:rsidR="00C7743D">
              <w:rPr>
                <w:noProof/>
                <w:webHidden/>
              </w:rPr>
              <w:t>6</w:t>
            </w:r>
            <w:r w:rsidR="00C7743D">
              <w:rPr>
                <w:noProof/>
                <w:webHidden/>
              </w:rPr>
              <w:fldChar w:fldCharType="end"/>
            </w:r>
          </w:hyperlink>
        </w:p>
        <w:p w14:paraId="0C26DFD4" w14:textId="65CA8A68" w:rsidR="00C7743D" w:rsidRDefault="00C8209F">
          <w:pPr>
            <w:pStyle w:val="TOC1"/>
            <w:tabs>
              <w:tab w:val="left" w:pos="44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4168" w:history="1">
            <w:r w:rsidR="00C7743D" w:rsidRPr="00C2293E">
              <w:rPr>
                <w:rStyle w:val="Hyperlink"/>
                <w:rFonts w:eastAsiaTheme="majorEastAsia"/>
                <w:noProof/>
              </w:rPr>
              <w:t>4</w:t>
            </w:r>
            <w:r w:rsidR="00C7743D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C7743D" w:rsidRPr="00C2293E">
              <w:rPr>
                <w:rStyle w:val="Hyperlink"/>
                <w:rFonts w:eastAsiaTheme="majorEastAsia"/>
                <w:noProof/>
              </w:rPr>
              <w:t>METODOLOGIA</w:t>
            </w:r>
            <w:r w:rsidR="00C7743D" w:rsidRPr="00C2293E">
              <w:rPr>
                <w:rStyle w:val="Hyperlink"/>
                <w:rFonts w:eastAsiaTheme="majorEastAsia"/>
                <w:noProof/>
                <w:spacing w:val="-5"/>
              </w:rPr>
              <w:t xml:space="preserve"> </w:t>
            </w:r>
            <w:r w:rsidR="00C7743D" w:rsidRPr="00C2293E">
              <w:rPr>
                <w:rStyle w:val="Hyperlink"/>
                <w:rFonts w:eastAsiaTheme="majorEastAsia"/>
                <w:noProof/>
              </w:rPr>
              <w:t>DI</w:t>
            </w:r>
            <w:r w:rsidR="00C7743D" w:rsidRPr="00C2293E">
              <w:rPr>
                <w:rStyle w:val="Hyperlink"/>
                <w:rFonts w:eastAsiaTheme="majorEastAsia"/>
                <w:noProof/>
                <w:spacing w:val="-3"/>
              </w:rPr>
              <w:t xml:space="preserve"> </w:t>
            </w:r>
            <w:r w:rsidR="00C7743D" w:rsidRPr="00C2293E">
              <w:rPr>
                <w:rStyle w:val="Hyperlink"/>
                <w:rFonts w:eastAsiaTheme="majorEastAsia"/>
                <w:noProof/>
              </w:rPr>
              <w:t>ANALISI</w:t>
            </w:r>
            <w:r w:rsidR="00C7743D">
              <w:rPr>
                <w:noProof/>
                <w:webHidden/>
              </w:rPr>
              <w:tab/>
            </w:r>
            <w:r w:rsidR="00C7743D">
              <w:rPr>
                <w:noProof/>
                <w:webHidden/>
              </w:rPr>
              <w:fldChar w:fldCharType="begin"/>
            </w:r>
            <w:r w:rsidR="00C7743D">
              <w:rPr>
                <w:noProof/>
                <w:webHidden/>
              </w:rPr>
              <w:instrText xml:space="preserve"> PAGEREF _Toc177384168 \h </w:instrText>
            </w:r>
            <w:r w:rsidR="00C7743D">
              <w:rPr>
                <w:noProof/>
                <w:webHidden/>
              </w:rPr>
            </w:r>
            <w:r w:rsidR="00C7743D">
              <w:rPr>
                <w:noProof/>
                <w:webHidden/>
              </w:rPr>
              <w:fldChar w:fldCharType="separate"/>
            </w:r>
            <w:r w:rsidR="00C7743D">
              <w:rPr>
                <w:noProof/>
                <w:webHidden/>
              </w:rPr>
              <w:t>7</w:t>
            </w:r>
            <w:r w:rsidR="00C7743D">
              <w:rPr>
                <w:noProof/>
                <w:webHidden/>
              </w:rPr>
              <w:fldChar w:fldCharType="end"/>
            </w:r>
          </w:hyperlink>
        </w:p>
        <w:p w14:paraId="4A6585D5" w14:textId="21E5E515" w:rsidR="00C7743D" w:rsidRDefault="00C8209F">
          <w:pPr>
            <w:pStyle w:val="TOC1"/>
            <w:tabs>
              <w:tab w:val="left" w:pos="44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4169" w:history="1">
            <w:r w:rsidR="00C7743D" w:rsidRPr="00C2293E">
              <w:rPr>
                <w:rStyle w:val="Hyperlink"/>
                <w:rFonts w:eastAsiaTheme="majorEastAsia"/>
                <w:noProof/>
              </w:rPr>
              <w:t>5</w:t>
            </w:r>
            <w:r w:rsidR="00C7743D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C7743D" w:rsidRPr="00C2293E">
              <w:rPr>
                <w:rStyle w:val="Hyperlink"/>
                <w:rFonts w:eastAsiaTheme="majorEastAsia"/>
                <w:noProof/>
              </w:rPr>
              <w:t>STORIA</w:t>
            </w:r>
            <w:r w:rsidR="00C7743D" w:rsidRPr="00C2293E">
              <w:rPr>
                <w:rStyle w:val="Hyperlink"/>
                <w:rFonts w:eastAsiaTheme="majorEastAsia"/>
                <w:noProof/>
                <w:spacing w:val="-3"/>
              </w:rPr>
              <w:t xml:space="preserve"> </w:t>
            </w:r>
            <w:r w:rsidR="00C7743D" w:rsidRPr="00C2293E">
              <w:rPr>
                <w:rStyle w:val="Hyperlink"/>
                <w:rFonts w:eastAsiaTheme="majorEastAsia"/>
                <w:noProof/>
              </w:rPr>
              <w:t>DEL</w:t>
            </w:r>
            <w:r w:rsidR="00C7743D" w:rsidRPr="00C2293E">
              <w:rPr>
                <w:rStyle w:val="Hyperlink"/>
                <w:rFonts w:eastAsiaTheme="majorEastAsia"/>
                <w:noProof/>
                <w:spacing w:val="-1"/>
              </w:rPr>
              <w:t xml:space="preserve"> </w:t>
            </w:r>
            <w:r w:rsidR="00C7743D" w:rsidRPr="00C2293E">
              <w:rPr>
                <w:rStyle w:val="Hyperlink"/>
                <w:rFonts w:eastAsiaTheme="majorEastAsia"/>
                <w:noProof/>
              </w:rPr>
              <w:t>CONTRATTO</w:t>
            </w:r>
            <w:r w:rsidR="00C7743D">
              <w:rPr>
                <w:noProof/>
                <w:webHidden/>
              </w:rPr>
              <w:tab/>
            </w:r>
            <w:r w:rsidR="00C7743D">
              <w:rPr>
                <w:noProof/>
                <w:webHidden/>
              </w:rPr>
              <w:fldChar w:fldCharType="begin"/>
            </w:r>
            <w:r w:rsidR="00C7743D">
              <w:rPr>
                <w:noProof/>
                <w:webHidden/>
              </w:rPr>
              <w:instrText xml:space="preserve"> PAGEREF _Toc177384169 \h </w:instrText>
            </w:r>
            <w:r w:rsidR="00C7743D">
              <w:rPr>
                <w:noProof/>
                <w:webHidden/>
              </w:rPr>
            </w:r>
            <w:r w:rsidR="00C7743D">
              <w:rPr>
                <w:noProof/>
                <w:webHidden/>
              </w:rPr>
              <w:fldChar w:fldCharType="separate"/>
            </w:r>
            <w:r w:rsidR="00C7743D">
              <w:rPr>
                <w:noProof/>
                <w:webHidden/>
              </w:rPr>
              <w:t>8</w:t>
            </w:r>
            <w:r w:rsidR="00C7743D">
              <w:rPr>
                <w:noProof/>
                <w:webHidden/>
              </w:rPr>
              <w:fldChar w:fldCharType="end"/>
            </w:r>
          </w:hyperlink>
        </w:p>
        <w:p w14:paraId="33CC1099" w14:textId="5351A2D6" w:rsidR="00C7743D" w:rsidRDefault="00C8209F">
          <w:pPr>
            <w:pStyle w:val="TOC1"/>
            <w:tabs>
              <w:tab w:val="left" w:pos="44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4170" w:history="1">
            <w:r w:rsidR="00C7743D" w:rsidRPr="00C2293E">
              <w:rPr>
                <w:rStyle w:val="Hyperlink"/>
                <w:rFonts w:eastAsiaTheme="majorEastAsia"/>
                <w:noProof/>
              </w:rPr>
              <w:t>6</w:t>
            </w:r>
            <w:r w:rsidR="00C7743D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C7743D" w:rsidRPr="00C2293E">
              <w:rPr>
                <w:rStyle w:val="Hyperlink"/>
                <w:rFonts w:eastAsiaTheme="majorEastAsia"/>
                <w:noProof/>
              </w:rPr>
              <w:t>RISULTATI</w:t>
            </w:r>
            <w:r w:rsidR="00C7743D" w:rsidRPr="00C2293E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C7743D" w:rsidRPr="00C2293E">
              <w:rPr>
                <w:rStyle w:val="Hyperlink"/>
                <w:rFonts w:eastAsiaTheme="majorEastAsia"/>
                <w:noProof/>
              </w:rPr>
              <w:t>OTTENUTI</w:t>
            </w:r>
            <w:r w:rsidR="00C7743D">
              <w:rPr>
                <w:noProof/>
                <w:webHidden/>
              </w:rPr>
              <w:tab/>
            </w:r>
            <w:r w:rsidR="00C7743D">
              <w:rPr>
                <w:noProof/>
                <w:webHidden/>
              </w:rPr>
              <w:fldChar w:fldCharType="begin"/>
            </w:r>
            <w:r w:rsidR="00C7743D">
              <w:rPr>
                <w:noProof/>
                <w:webHidden/>
              </w:rPr>
              <w:instrText xml:space="preserve"> PAGEREF _Toc177384170 \h </w:instrText>
            </w:r>
            <w:r w:rsidR="00C7743D">
              <w:rPr>
                <w:noProof/>
                <w:webHidden/>
              </w:rPr>
            </w:r>
            <w:r w:rsidR="00C7743D">
              <w:rPr>
                <w:noProof/>
                <w:webHidden/>
              </w:rPr>
              <w:fldChar w:fldCharType="separate"/>
            </w:r>
            <w:r w:rsidR="00C7743D">
              <w:rPr>
                <w:noProof/>
                <w:webHidden/>
              </w:rPr>
              <w:t>8</w:t>
            </w:r>
            <w:r w:rsidR="00C7743D">
              <w:rPr>
                <w:noProof/>
                <w:webHidden/>
              </w:rPr>
              <w:fldChar w:fldCharType="end"/>
            </w:r>
          </w:hyperlink>
        </w:p>
        <w:p w14:paraId="36A59DB7" w14:textId="210D1DC9" w:rsidR="00C7743D" w:rsidRDefault="00C8209F">
          <w:pPr>
            <w:pStyle w:val="TOC1"/>
            <w:tabs>
              <w:tab w:val="left" w:pos="44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4171" w:history="1">
            <w:r w:rsidR="00C7743D" w:rsidRPr="00C2293E">
              <w:rPr>
                <w:rStyle w:val="Hyperlink"/>
                <w:rFonts w:eastAsiaTheme="majorEastAsia"/>
                <w:noProof/>
              </w:rPr>
              <w:t>7</w:t>
            </w:r>
            <w:r w:rsidR="00C7743D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C7743D" w:rsidRPr="00C2293E">
              <w:rPr>
                <w:rStyle w:val="Hyperlink"/>
                <w:rFonts w:eastAsiaTheme="majorEastAsia"/>
                <w:noProof/>
              </w:rPr>
              <w:t>LEZIONI</w:t>
            </w:r>
            <w:r w:rsidR="00C7743D" w:rsidRPr="00C2293E">
              <w:rPr>
                <w:rStyle w:val="Hyperlink"/>
                <w:rFonts w:eastAsiaTheme="majorEastAsia"/>
                <w:noProof/>
                <w:spacing w:val="-5"/>
              </w:rPr>
              <w:t xml:space="preserve"> </w:t>
            </w:r>
            <w:r w:rsidR="00C7743D" w:rsidRPr="00C2293E">
              <w:rPr>
                <w:rStyle w:val="Hyperlink"/>
                <w:rFonts w:eastAsiaTheme="majorEastAsia"/>
                <w:noProof/>
              </w:rPr>
              <w:t>APPRESE</w:t>
            </w:r>
            <w:r w:rsidR="00C7743D" w:rsidRPr="00C2293E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C7743D" w:rsidRPr="00C2293E">
              <w:rPr>
                <w:rStyle w:val="Hyperlink"/>
                <w:rFonts w:eastAsiaTheme="majorEastAsia"/>
                <w:noProof/>
              </w:rPr>
              <w:t>ED</w:t>
            </w:r>
            <w:r w:rsidR="00C7743D" w:rsidRPr="00C2293E">
              <w:rPr>
                <w:rStyle w:val="Hyperlink"/>
                <w:rFonts w:eastAsiaTheme="majorEastAsia"/>
                <w:noProof/>
                <w:spacing w:val="-2"/>
              </w:rPr>
              <w:t xml:space="preserve"> </w:t>
            </w:r>
            <w:r w:rsidR="00C7743D" w:rsidRPr="00C2293E">
              <w:rPr>
                <w:rStyle w:val="Hyperlink"/>
                <w:rFonts w:eastAsiaTheme="majorEastAsia"/>
                <w:noProof/>
              </w:rPr>
              <w:t>INIZIATIVE</w:t>
            </w:r>
            <w:r w:rsidR="00C7743D" w:rsidRPr="00C2293E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C7743D" w:rsidRPr="00C2293E">
              <w:rPr>
                <w:rStyle w:val="Hyperlink"/>
                <w:rFonts w:eastAsiaTheme="majorEastAsia"/>
                <w:noProof/>
              </w:rPr>
              <w:t>FUTURE</w:t>
            </w:r>
            <w:r w:rsidR="00C7743D">
              <w:rPr>
                <w:noProof/>
                <w:webHidden/>
              </w:rPr>
              <w:tab/>
            </w:r>
            <w:r w:rsidR="00C7743D">
              <w:rPr>
                <w:noProof/>
                <w:webHidden/>
              </w:rPr>
              <w:fldChar w:fldCharType="begin"/>
            </w:r>
            <w:r w:rsidR="00C7743D">
              <w:rPr>
                <w:noProof/>
                <w:webHidden/>
              </w:rPr>
              <w:instrText xml:space="preserve"> PAGEREF _Toc177384171 \h </w:instrText>
            </w:r>
            <w:r w:rsidR="00C7743D">
              <w:rPr>
                <w:noProof/>
                <w:webHidden/>
              </w:rPr>
            </w:r>
            <w:r w:rsidR="00C7743D">
              <w:rPr>
                <w:noProof/>
                <w:webHidden/>
              </w:rPr>
              <w:fldChar w:fldCharType="separate"/>
            </w:r>
            <w:r w:rsidR="00C7743D">
              <w:rPr>
                <w:noProof/>
                <w:webHidden/>
              </w:rPr>
              <w:t>8</w:t>
            </w:r>
            <w:r w:rsidR="00C7743D">
              <w:rPr>
                <w:noProof/>
                <w:webHidden/>
              </w:rPr>
              <w:fldChar w:fldCharType="end"/>
            </w:r>
          </w:hyperlink>
        </w:p>
        <w:p w14:paraId="5E6A9A11" w14:textId="0AA0510C" w:rsidR="00044919" w:rsidRPr="001100D5" w:rsidRDefault="00044919">
          <w:pPr>
            <w:rPr>
              <w:sz w:val="24"/>
              <w:szCs w:val="24"/>
            </w:rPr>
          </w:pPr>
          <w:r w:rsidRPr="001100D5">
            <w:rPr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14:paraId="46425F09" w14:textId="2A511BF8" w:rsidR="00E16405" w:rsidRPr="001100D5" w:rsidRDefault="00E16405">
      <w:pPr>
        <w:sectPr w:rsidR="00E16405" w:rsidRPr="001100D5" w:rsidSect="00EC3AE3">
          <w:footerReference w:type="default" r:id="rId12"/>
          <w:pgSz w:w="11910" w:h="16840"/>
          <w:pgMar w:top="1360" w:right="1278" w:bottom="1240" w:left="1276" w:header="0" w:footer="1051" w:gutter="0"/>
          <w:cols w:space="720"/>
        </w:sectPr>
      </w:pPr>
    </w:p>
    <w:p w14:paraId="7B44B222" w14:textId="77777777" w:rsidR="00897775" w:rsidRPr="001100D5" w:rsidRDefault="002F7EE0" w:rsidP="00401A15">
      <w:pPr>
        <w:pStyle w:val="Heading1"/>
        <w:numPr>
          <w:ilvl w:val="0"/>
          <w:numId w:val="2"/>
        </w:numPr>
      </w:pPr>
      <w:bookmarkStart w:id="0" w:name="_Toc177384156"/>
      <w:r w:rsidRPr="001100D5">
        <w:lastRenderedPageBreak/>
        <w:t>DATI</w:t>
      </w:r>
      <w:r w:rsidRPr="001100D5">
        <w:rPr>
          <w:spacing w:val="-4"/>
        </w:rPr>
        <w:t xml:space="preserve"> </w:t>
      </w:r>
      <w:r w:rsidRPr="001100D5">
        <w:t>IDENTIFICATIVI</w:t>
      </w:r>
      <w:r w:rsidRPr="001100D5">
        <w:rPr>
          <w:spacing w:val="-5"/>
        </w:rPr>
        <w:t xml:space="preserve"> </w:t>
      </w:r>
      <w:r w:rsidRPr="001100D5">
        <w:t>DEL</w:t>
      </w:r>
      <w:r w:rsidRPr="001100D5">
        <w:rPr>
          <w:spacing w:val="-4"/>
        </w:rPr>
        <w:t xml:space="preserve"> </w:t>
      </w:r>
      <w:r w:rsidRPr="001100D5">
        <w:t>CONTRATTO</w:t>
      </w:r>
      <w:bookmarkEnd w:id="0"/>
    </w:p>
    <w:p w14:paraId="1572C8B3" w14:textId="77777777" w:rsidR="00897775" w:rsidRPr="001100D5" w:rsidRDefault="00897775">
      <w:pPr>
        <w:pStyle w:val="BodyText"/>
        <w:spacing w:before="11"/>
        <w:rPr>
          <w:rFonts w:ascii="Calibri" w:hAnsi="Calibri" w:cs="Calibri"/>
          <w:b/>
          <w:sz w:val="28"/>
        </w:rPr>
      </w:pPr>
    </w:p>
    <w:tbl>
      <w:tblPr>
        <w:tblStyle w:val="TableNormal1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3961"/>
        <w:gridCol w:w="5145"/>
      </w:tblGrid>
      <w:tr w:rsidR="001100D5" w:rsidRPr="001100D5" w14:paraId="692C12E4" w14:textId="77777777" w:rsidTr="21EC19F1">
        <w:trPr>
          <w:trHeight w:val="499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F8A48BA" w14:textId="77777777" w:rsidR="00897775" w:rsidRPr="001100D5" w:rsidRDefault="002F7EE0">
            <w:pPr>
              <w:pStyle w:val="TableParagraph"/>
              <w:spacing w:line="251" w:lineRule="exact"/>
              <w:ind w:right="91"/>
              <w:jc w:val="right"/>
              <w:rPr>
                <w:sz w:val="24"/>
                <w:szCs w:val="24"/>
              </w:rPr>
            </w:pPr>
            <w:r w:rsidRPr="001100D5">
              <w:rPr>
                <w:sz w:val="24"/>
                <w:szCs w:val="24"/>
              </w:rPr>
              <w:t>Denominazione</w:t>
            </w:r>
            <w:r w:rsidRPr="001100D5">
              <w:rPr>
                <w:spacing w:val="-8"/>
                <w:sz w:val="24"/>
                <w:szCs w:val="24"/>
              </w:rPr>
              <w:t xml:space="preserve"> </w:t>
            </w:r>
            <w:r w:rsidRPr="001100D5">
              <w:rPr>
                <w:sz w:val="24"/>
                <w:szCs w:val="24"/>
              </w:rPr>
              <w:t>dell’Amministrazione</w:t>
            </w:r>
          </w:p>
        </w:tc>
        <w:tc>
          <w:tcPr>
            <w:tcW w:w="5145" w:type="dxa"/>
            <w:vAlign w:val="center"/>
          </w:tcPr>
          <w:p w14:paraId="2714EF46" w14:textId="1B3BD867" w:rsidR="00897775" w:rsidRPr="001100D5" w:rsidRDefault="0086174D" w:rsidP="00B22C5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1100D5">
              <w:rPr>
                <w:color w:val="auto"/>
              </w:rPr>
              <w:t xml:space="preserve">Ministero della Giustizia - </w:t>
            </w:r>
            <w:r w:rsidR="00C5679C" w:rsidRPr="00C5679C">
              <w:rPr>
                <w:color w:val="auto"/>
              </w:rPr>
              <w:t>Dipartimento per l’innovazione tecnologica della giustizia</w:t>
            </w:r>
            <w:r w:rsidRPr="001100D5">
              <w:rPr>
                <w:color w:val="auto"/>
              </w:rPr>
              <w:t xml:space="preserve"> - Direzione Generale per i Sistemi Informativi Automatizzati (DGSIA)</w:t>
            </w:r>
          </w:p>
        </w:tc>
      </w:tr>
      <w:tr w:rsidR="001100D5" w:rsidRPr="001100D5" w14:paraId="45C794BF" w14:textId="77777777" w:rsidTr="21EC19F1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17E18E8" w14:textId="77777777" w:rsidR="00897775" w:rsidRPr="001100D5" w:rsidRDefault="002F7EE0">
            <w:pPr>
              <w:pStyle w:val="TableParagraph"/>
              <w:spacing w:line="253" w:lineRule="exact"/>
              <w:ind w:right="92"/>
              <w:jc w:val="right"/>
              <w:rPr>
                <w:rFonts w:ascii="Calibri" w:eastAsiaTheme="minorHAnsi" w:hAnsi="Calibri" w:cs="Calibri"/>
                <w:sz w:val="24"/>
                <w:szCs w:val="24"/>
              </w:rPr>
            </w:pPr>
            <w:r w:rsidRPr="001100D5">
              <w:rPr>
                <w:rFonts w:ascii="Calibri" w:eastAsiaTheme="minorHAnsi" w:hAnsi="Calibri" w:cs="Calibri"/>
                <w:sz w:val="24"/>
                <w:szCs w:val="24"/>
              </w:rPr>
              <w:t>Codice parere</w:t>
            </w:r>
          </w:p>
        </w:tc>
        <w:tc>
          <w:tcPr>
            <w:tcW w:w="5145" w:type="dxa"/>
          </w:tcPr>
          <w:p w14:paraId="2D8E43B0" w14:textId="4D3EF125" w:rsidR="00897775" w:rsidRPr="001100D5" w:rsidRDefault="4A0E36E2" w:rsidP="00B22C57">
            <w:pPr>
              <w:pStyle w:val="Default"/>
              <w:jc w:val="both"/>
              <w:rPr>
                <w:color w:val="auto"/>
              </w:rPr>
            </w:pPr>
            <w:proofErr w:type="spellStart"/>
            <w:r w:rsidRPr="001100D5">
              <w:rPr>
                <w:color w:val="auto"/>
              </w:rPr>
              <w:t>n.d.</w:t>
            </w:r>
            <w:proofErr w:type="spellEnd"/>
          </w:p>
        </w:tc>
      </w:tr>
      <w:tr w:rsidR="001100D5" w:rsidRPr="001100D5" w14:paraId="7300223B" w14:textId="77777777" w:rsidTr="21EC19F1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4A24D1D" w14:textId="77777777" w:rsidR="00897775" w:rsidRPr="001100D5" w:rsidRDefault="002F7EE0">
            <w:pPr>
              <w:pStyle w:val="TableParagraph"/>
              <w:spacing w:line="251" w:lineRule="exact"/>
              <w:ind w:right="95"/>
              <w:jc w:val="right"/>
              <w:rPr>
                <w:rFonts w:ascii="Calibri" w:eastAsiaTheme="minorHAnsi" w:hAnsi="Calibri" w:cs="Calibri"/>
                <w:sz w:val="24"/>
                <w:szCs w:val="24"/>
              </w:rPr>
            </w:pPr>
            <w:r w:rsidRPr="001100D5">
              <w:rPr>
                <w:rFonts w:ascii="Calibri" w:eastAsiaTheme="minorHAnsi" w:hAnsi="Calibri" w:cs="Calibri"/>
                <w:sz w:val="24"/>
                <w:szCs w:val="24"/>
              </w:rPr>
              <w:t>Denominazione del contratto</w:t>
            </w:r>
          </w:p>
        </w:tc>
        <w:tc>
          <w:tcPr>
            <w:tcW w:w="5145" w:type="dxa"/>
          </w:tcPr>
          <w:p w14:paraId="4A9A07A3" w14:textId="318C6578" w:rsidR="00897775" w:rsidRPr="001100D5" w:rsidRDefault="4D25ED6A" w:rsidP="21EC19F1">
            <w:pPr>
              <w:pStyle w:val="TableParagraph"/>
              <w:jc w:val="both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1100D5">
              <w:rPr>
                <w:rFonts w:ascii="Calibri" w:eastAsiaTheme="minorEastAsia" w:hAnsi="Calibri" w:cs="Calibri"/>
                <w:sz w:val="24"/>
                <w:szCs w:val="24"/>
              </w:rPr>
              <w:t xml:space="preserve">AFFIDAMENTO DI “SERVIZI APPLICATIVI PER I SISTEMI AMMINISTRATIVI CENTRALI” MEDIANTE ORDINATIVO DI FORNITURA NELL’AMBITO DELL’ACCORDO QUADRO PER I SERVIZI APPLICATIVI PER LE PUBBLICHE AMMINISTRAZIONI CENTRALI STIPULATO DA CONSIP </w:t>
            </w:r>
          </w:p>
          <w:p w14:paraId="31751054" w14:textId="34BFB030" w:rsidR="00897775" w:rsidRPr="001100D5" w:rsidRDefault="4D25ED6A" w:rsidP="00187D8B">
            <w:pPr>
              <w:pStyle w:val="TableParagraph"/>
              <w:jc w:val="both"/>
            </w:pPr>
            <w:r w:rsidRPr="001100D5">
              <w:rPr>
                <w:rFonts w:ascii="Calibri" w:eastAsiaTheme="minorEastAsia" w:hAnsi="Calibri" w:cs="Calibri"/>
                <w:sz w:val="24"/>
                <w:szCs w:val="24"/>
              </w:rPr>
              <w:t>ID 2483 – LOTTO 1</w:t>
            </w:r>
          </w:p>
        </w:tc>
      </w:tr>
      <w:tr w:rsidR="001100D5" w:rsidRPr="001100D5" w14:paraId="75BB43CD" w14:textId="77777777" w:rsidTr="21EC19F1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72E28B8" w14:textId="77777777" w:rsidR="00897775" w:rsidRPr="001100D5" w:rsidRDefault="002F7EE0">
            <w:pPr>
              <w:pStyle w:val="TableParagraph"/>
              <w:spacing w:line="251" w:lineRule="exact"/>
              <w:ind w:right="92"/>
              <w:jc w:val="right"/>
              <w:rPr>
                <w:rFonts w:ascii="Calibri" w:eastAsiaTheme="minorHAnsi" w:hAnsi="Calibri" w:cs="Calibri"/>
                <w:sz w:val="24"/>
                <w:szCs w:val="24"/>
              </w:rPr>
            </w:pPr>
            <w:r w:rsidRPr="001100D5">
              <w:rPr>
                <w:rFonts w:ascii="Calibri" w:eastAsiaTheme="minorHAnsi" w:hAnsi="Calibri" w:cs="Calibri"/>
                <w:sz w:val="24"/>
                <w:szCs w:val="24"/>
              </w:rPr>
              <w:t>Codice contratto (CIG, REP, ovvero</w:t>
            </w:r>
          </w:p>
          <w:p w14:paraId="70DCFB46" w14:textId="77777777" w:rsidR="00897775" w:rsidRPr="001100D5" w:rsidRDefault="002F7EE0">
            <w:pPr>
              <w:pStyle w:val="TableParagraph"/>
              <w:spacing w:before="19"/>
              <w:ind w:right="91"/>
              <w:jc w:val="right"/>
              <w:rPr>
                <w:rFonts w:ascii="Calibri" w:eastAsiaTheme="minorHAnsi" w:hAnsi="Calibri" w:cs="Calibri"/>
                <w:sz w:val="24"/>
                <w:szCs w:val="24"/>
              </w:rPr>
            </w:pPr>
            <w:r w:rsidRPr="001100D5">
              <w:rPr>
                <w:rFonts w:ascii="Calibri" w:eastAsiaTheme="minorHAnsi" w:hAnsi="Calibri" w:cs="Calibri"/>
                <w:sz w:val="24"/>
                <w:szCs w:val="24"/>
              </w:rPr>
              <w:t>codice interno)</w:t>
            </w:r>
          </w:p>
        </w:tc>
        <w:tc>
          <w:tcPr>
            <w:tcW w:w="5145" w:type="dxa"/>
            <w:vAlign w:val="center"/>
          </w:tcPr>
          <w:p w14:paraId="68A0A3DD" w14:textId="41F8BB3C" w:rsidR="00897775" w:rsidRPr="001100D5" w:rsidRDefault="37743832" w:rsidP="00187D8B">
            <w:pPr>
              <w:pStyle w:val="TableParagraph"/>
              <w:jc w:val="both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1100D5">
              <w:rPr>
                <w:rFonts w:ascii="Calibri" w:eastAsiaTheme="minorEastAsia" w:hAnsi="Calibri" w:cs="Calibri"/>
                <w:sz w:val="24"/>
                <w:szCs w:val="24"/>
              </w:rPr>
              <w:t>A0135C1EC3</w:t>
            </w:r>
          </w:p>
        </w:tc>
      </w:tr>
      <w:tr w:rsidR="001100D5" w:rsidRPr="001100D5" w14:paraId="0410AD73" w14:textId="77777777" w:rsidTr="21EC19F1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2C250C9B" w14:textId="77777777" w:rsidR="00897775" w:rsidRPr="001100D5" w:rsidRDefault="002F7EE0">
            <w:pPr>
              <w:pStyle w:val="TableParagraph"/>
              <w:spacing w:line="251" w:lineRule="exact"/>
              <w:ind w:right="92"/>
              <w:jc w:val="right"/>
              <w:rPr>
                <w:rFonts w:ascii="Calibri" w:eastAsiaTheme="minorHAnsi" w:hAnsi="Calibri" w:cs="Calibri"/>
                <w:sz w:val="24"/>
                <w:szCs w:val="24"/>
              </w:rPr>
            </w:pPr>
            <w:r w:rsidRPr="001100D5">
              <w:rPr>
                <w:rFonts w:ascii="Calibri" w:eastAsiaTheme="minorHAnsi" w:hAnsi="Calibri" w:cs="Calibri"/>
                <w:sz w:val="24"/>
                <w:szCs w:val="24"/>
              </w:rPr>
              <w:t>RUP – Responsabile Unico del</w:t>
            </w:r>
          </w:p>
          <w:p w14:paraId="246156F9" w14:textId="77777777" w:rsidR="00897775" w:rsidRPr="001100D5" w:rsidRDefault="002F7EE0">
            <w:pPr>
              <w:pStyle w:val="TableParagraph"/>
              <w:spacing w:before="20"/>
              <w:ind w:right="92"/>
              <w:jc w:val="right"/>
              <w:rPr>
                <w:rFonts w:ascii="Calibri" w:eastAsiaTheme="minorHAnsi" w:hAnsi="Calibri" w:cs="Calibri"/>
                <w:sz w:val="24"/>
                <w:szCs w:val="24"/>
              </w:rPr>
            </w:pPr>
            <w:r w:rsidRPr="001100D5">
              <w:rPr>
                <w:rFonts w:ascii="Calibri" w:eastAsiaTheme="minorHAnsi" w:hAnsi="Calibri" w:cs="Calibri"/>
                <w:sz w:val="24"/>
                <w:szCs w:val="24"/>
              </w:rPr>
              <w:t>Procedimento</w:t>
            </w:r>
          </w:p>
        </w:tc>
        <w:tc>
          <w:tcPr>
            <w:tcW w:w="5145" w:type="dxa"/>
            <w:vAlign w:val="center"/>
          </w:tcPr>
          <w:p w14:paraId="45525EEE" w14:textId="51CA4715" w:rsidR="00897775" w:rsidRPr="001100D5" w:rsidRDefault="4E246053" w:rsidP="00187D8B">
            <w:pPr>
              <w:pStyle w:val="TableParagraph"/>
              <w:jc w:val="both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1100D5">
              <w:rPr>
                <w:rFonts w:ascii="Calibri" w:eastAsiaTheme="minorEastAsia" w:hAnsi="Calibri" w:cs="Calibri"/>
                <w:sz w:val="24"/>
                <w:szCs w:val="24"/>
              </w:rPr>
              <w:t>Luciano Cinfrignini</w:t>
            </w:r>
          </w:p>
        </w:tc>
      </w:tr>
      <w:tr w:rsidR="001100D5" w:rsidRPr="001100D5" w14:paraId="7388DF9E" w14:textId="77777777" w:rsidTr="21EC19F1">
        <w:trPr>
          <w:trHeight w:val="499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0EDAD837" w14:textId="77777777" w:rsidR="00897775" w:rsidRPr="001100D5" w:rsidRDefault="002F7EE0">
            <w:pPr>
              <w:pStyle w:val="TableParagraph"/>
              <w:spacing w:line="253" w:lineRule="exact"/>
              <w:ind w:right="94"/>
              <w:jc w:val="right"/>
              <w:rPr>
                <w:rFonts w:ascii="Calibri" w:eastAsiaTheme="minorHAnsi" w:hAnsi="Calibri" w:cs="Calibri"/>
                <w:sz w:val="24"/>
                <w:szCs w:val="24"/>
              </w:rPr>
            </w:pPr>
            <w:r w:rsidRPr="001100D5">
              <w:rPr>
                <w:rFonts w:ascii="Calibri" w:eastAsiaTheme="minorHAnsi" w:hAnsi="Calibri" w:cs="Calibri"/>
                <w:sz w:val="24"/>
                <w:szCs w:val="24"/>
              </w:rPr>
              <w:t>DEC – Direttore dell’Esecuzione</w:t>
            </w:r>
          </w:p>
        </w:tc>
        <w:tc>
          <w:tcPr>
            <w:tcW w:w="5145" w:type="dxa"/>
            <w:vAlign w:val="center"/>
          </w:tcPr>
          <w:p w14:paraId="7CA57BBC" w14:textId="356A45A1" w:rsidR="00897775" w:rsidRPr="001100D5" w:rsidRDefault="0A864C30" w:rsidP="00187D8B">
            <w:pPr>
              <w:pStyle w:val="TableParagraph"/>
              <w:jc w:val="both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1100D5">
              <w:rPr>
                <w:rFonts w:ascii="Calibri" w:eastAsiaTheme="minorEastAsia" w:hAnsi="Calibri" w:cs="Calibri"/>
                <w:sz w:val="24"/>
                <w:szCs w:val="24"/>
              </w:rPr>
              <w:t>Donatello Luna</w:t>
            </w:r>
          </w:p>
        </w:tc>
      </w:tr>
      <w:tr w:rsidR="001100D5" w:rsidRPr="001100D5" w14:paraId="7FCA73E7" w14:textId="77777777" w:rsidTr="21EC19F1">
        <w:trPr>
          <w:trHeight w:val="500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4F7A835" w14:textId="77777777" w:rsidR="00897775" w:rsidRPr="001100D5" w:rsidRDefault="002F7EE0">
            <w:pPr>
              <w:pStyle w:val="TableParagraph"/>
              <w:spacing w:line="253" w:lineRule="exact"/>
              <w:ind w:right="93"/>
              <w:jc w:val="right"/>
              <w:rPr>
                <w:rFonts w:ascii="Calibri" w:eastAsiaTheme="minorHAnsi" w:hAnsi="Calibri" w:cs="Calibri"/>
                <w:sz w:val="24"/>
                <w:szCs w:val="24"/>
              </w:rPr>
            </w:pPr>
            <w:r w:rsidRPr="001100D5">
              <w:rPr>
                <w:rFonts w:ascii="Calibri" w:eastAsiaTheme="minorHAnsi" w:hAnsi="Calibri" w:cs="Calibri"/>
                <w:sz w:val="24"/>
                <w:szCs w:val="24"/>
              </w:rPr>
              <w:t>Denominazione del Fornitore</w:t>
            </w:r>
          </w:p>
        </w:tc>
        <w:tc>
          <w:tcPr>
            <w:tcW w:w="5145" w:type="dxa"/>
            <w:vAlign w:val="center"/>
          </w:tcPr>
          <w:p w14:paraId="0BFCE42E" w14:textId="53334443" w:rsidR="00897775" w:rsidRPr="001100D5" w:rsidRDefault="58A8A1CE" w:rsidP="21EC19F1">
            <w:pPr>
              <w:pStyle w:val="TableParagraph"/>
              <w:rPr>
                <w:rFonts w:ascii="Calibri" w:eastAsia="Calibri" w:hAnsi="Calibri" w:cs="Calibri"/>
              </w:rPr>
            </w:pPr>
            <w:r w:rsidRPr="001100D5">
              <w:rPr>
                <w:rFonts w:ascii="Calibri" w:eastAsia="Calibri" w:hAnsi="Calibri" w:cs="Calibri"/>
              </w:rPr>
              <w:t xml:space="preserve">IBM Italia Spa (mandataria) in RTI con Deda Next S.r.l., McKinsey &amp; Company Inc. </w:t>
            </w:r>
            <w:proofErr w:type="spellStart"/>
            <w:r w:rsidRPr="001100D5">
              <w:rPr>
                <w:rFonts w:ascii="Calibri" w:eastAsia="Calibri" w:hAnsi="Calibri" w:cs="Calibri"/>
              </w:rPr>
              <w:t>Italy</w:t>
            </w:r>
            <w:proofErr w:type="spellEnd"/>
            <w:r w:rsidRPr="001100D5">
              <w:rPr>
                <w:rFonts w:ascii="Calibri" w:eastAsia="Calibri" w:hAnsi="Calibri" w:cs="Calibri"/>
              </w:rPr>
              <w:t xml:space="preserve">, DEAS - DIFESA E ANALISI SISTEMI S.p.a., Sistemi Informativi S.r.l., ITALIT, SNC Treviso </w:t>
            </w:r>
            <w:proofErr w:type="spellStart"/>
            <w:r w:rsidRPr="001100D5">
              <w:rPr>
                <w:rFonts w:ascii="Calibri" w:eastAsia="Calibri" w:hAnsi="Calibri" w:cs="Calibri"/>
              </w:rPr>
              <w:t>srl</w:t>
            </w:r>
            <w:proofErr w:type="spellEnd"/>
          </w:p>
        </w:tc>
      </w:tr>
      <w:tr w:rsidR="001100D5" w:rsidRPr="001100D5" w14:paraId="38EDFD4B" w14:textId="77777777" w:rsidTr="21EC19F1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4CD51CB" w14:textId="77777777" w:rsidR="00897775" w:rsidRPr="001100D5" w:rsidRDefault="002F7EE0">
            <w:pPr>
              <w:pStyle w:val="TableParagraph"/>
              <w:spacing w:line="253" w:lineRule="exact"/>
              <w:ind w:right="92"/>
              <w:jc w:val="right"/>
              <w:rPr>
                <w:rFonts w:ascii="Calibri" w:eastAsiaTheme="minorHAnsi" w:hAnsi="Calibri" w:cs="Calibri"/>
                <w:sz w:val="24"/>
                <w:szCs w:val="24"/>
              </w:rPr>
            </w:pPr>
            <w:r w:rsidRPr="001100D5">
              <w:rPr>
                <w:rFonts w:ascii="Calibri" w:eastAsiaTheme="minorHAnsi" w:hAnsi="Calibri" w:cs="Calibri"/>
                <w:sz w:val="24"/>
                <w:szCs w:val="24"/>
              </w:rPr>
              <w:t>Data stipula</w:t>
            </w:r>
          </w:p>
        </w:tc>
        <w:tc>
          <w:tcPr>
            <w:tcW w:w="5145" w:type="dxa"/>
            <w:vAlign w:val="center"/>
          </w:tcPr>
          <w:p w14:paraId="23C78960" w14:textId="3017A861" w:rsidR="00897775" w:rsidRPr="001100D5" w:rsidRDefault="29E93C89" w:rsidP="00187D8B">
            <w:pPr>
              <w:pStyle w:val="TableParagraph"/>
              <w:jc w:val="both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1100D5">
              <w:rPr>
                <w:rFonts w:ascii="Calibri" w:eastAsiaTheme="minorEastAsia" w:hAnsi="Calibri" w:cs="Calibri"/>
                <w:sz w:val="24"/>
                <w:szCs w:val="24"/>
              </w:rPr>
              <w:t>16/10/2023</w:t>
            </w:r>
          </w:p>
        </w:tc>
      </w:tr>
      <w:tr w:rsidR="001100D5" w:rsidRPr="001100D5" w14:paraId="1F68C037" w14:textId="77777777" w:rsidTr="21EC19F1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D1B02C9" w14:textId="77777777" w:rsidR="00897775" w:rsidRPr="001100D5" w:rsidRDefault="002F7EE0">
            <w:pPr>
              <w:pStyle w:val="TableParagraph"/>
              <w:spacing w:line="251" w:lineRule="exact"/>
              <w:ind w:right="91"/>
              <w:jc w:val="right"/>
              <w:rPr>
                <w:rFonts w:ascii="Calibri" w:eastAsiaTheme="minorHAnsi" w:hAnsi="Calibri" w:cs="Calibri"/>
                <w:sz w:val="24"/>
                <w:szCs w:val="24"/>
              </w:rPr>
            </w:pPr>
            <w:r w:rsidRPr="001100D5">
              <w:rPr>
                <w:rFonts w:ascii="Calibri" w:eastAsiaTheme="minorHAnsi" w:hAnsi="Calibri" w:cs="Calibri"/>
                <w:sz w:val="24"/>
                <w:szCs w:val="24"/>
              </w:rPr>
              <w:t>Data inizio – data fine attività</w:t>
            </w:r>
          </w:p>
        </w:tc>
        <w:tc>
          <w:tcPr>
            <w:tcW w:w="5145" w:type="dxa"/>
            <w:vAlign w:val="center"/>
          </w:tcPr>
          <w:p w14:paraId="30469902" w14:textId="1D282DF4" w:rsidR="00897775" w:rsidRPr="001100D5" w:rsidRDefault="639D2FE8" w:rsidP="00187D8B">
            <w:pPr>
              <w:pStyle w:val="TableParagraph"/>
              <w:jc w:val="both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1100D5">
              <w:rPr>
                <w:rFonts w:ascii="Calibri" w:eastAsiaTheme="minorEastAsia" w:hAnsi="Calibri" w:cs="Calibri"/>
                <w:sz w:val="24"/>
                <w:szCs w:val="24"/>
              </w:rPr>
              <w:t>01/01/2024 – 31/12/2025</w:t>
            </w:r>
          </w:p>
        </w:tc>
      </w:tr>
      <w:tr w:rsidR="001100D5" w:rsidRPr="001100D5" w14:paraId="76C09A00" w14:textId="77777777" w:rsidTr="21EC19F1">
        <w:trPr>
          <w:trHeight w:val="498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0A2B355" w14:textId="77777777" w:rsidR="00897775" w:rsidRPr="001100D5" w:rsidRDefault="002F7EE0">
            <w:pPr>
              <w:pStyle w:val="TableParagraph"/>
              <w:spacing w:line="251" w:lineRule="exact"/>
              <w:ind w:right="94"/>
              <w:jc w:val="right"/>
              <w:rPr>
                <w:rFonts w:ascii="Calibri" w:eastAsiaTheme="minorHAnsi" w:hAnsi="Calibri" w:cs="Calibri"/>
                <w:sz w:val="24"/>
                <w:szCs w:val="24"/>
              </w:rPr>
            </w:pPr>
            <w:r w:rsidRPr="001100D5">
              <w:rPr>
                <w:rFonts w:ascii="Calibri" w:eastAsiaTheme="minorHAnsi" w:hAnsi="Calibri" w:cs="Calibri"/>
                <w:sz w:val="24"/>
                <w:szCs w:val="24"/>
              </w:rPr>
              <w:t>Importo complessivo</w:t>
            </w:r>
          </w:p>
        </w:tc>
        <w:tc>
          <w:tcPr>
            <w:tcW w:w="5145" w:type="dxa"/>
            <w:vAlign w:val="center"/>
          </w:tcPr>
          <w:p w14:paraId="423D0D28" w14:textId="101B755D" w:rsidR="00F37C1F" w:rsidRPr="001100D5" w:rsidRDefault="6D71070F" w:rsidP="21EC19F1">
            <w:pPr>
              <w:jc w:val="both"/>
            </w:pPr>
            <w:r w:rsidRPr="001100D5">
              <w:rPr>
                <w:rFonts w:ascii="Calibri" w:eastAsiaTheme="minorEastAsia" w:hAnsi="Calibri" w:cs="Calibri"/>
                <w:sz w:val="24"/>
                <w:szCs w:val="24"/>
              </w:rPr>
              <w:t xml:space="preserve">€ 6.557.225,00 (IVA esclusa) </w:t>
            </w:r>
          </w:p>
          <w:p w14:paraId="4CC683F1" w14:textId="0652BC82" w:rsidR="00F37C1F" w:rsidRPr="001100D5" w:rsidRDefault="6D71070F" w:rsidP="21EC19F1">
            <w:pPr>
              <w:jc w:val="both"/>
            </w:pPr>
            <w:r w:rsidRPr="001100D5">
              <w:rPr>
                <w:rFonts w:ascii="Calibri" w:eastAsiaTheme="minorEastAsia" w:hAnsi="Calibri" w:cs="Calibri"/>
                <w:sz w:val="24"/>
                <w:szCs w:val="24"/>
              </w:rPr>
              <w:t xml:space="preserve">€ 7.999.814,50 (IVA inclusa) </w:t>
            </w:r>
          </w:p>
        </w:tc>
      </w:tr>
      <w:tr w:rsidR="001100D5" w:rsidRPr="001100D5" w14:paraId="5CFB9A6C" w14:textId="77777777" w:rsidTr="21EC19F1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55E0EFF4" w14:textId="77777777" w:rsidR="00897775" w:rsidRPr="001100D5" w:rsidRDefault="002F7EE0">
            <w:pPr>
              <w:pStyle w:val="TableParagraph"/>
              <w:spacing w:line="251" w:lineRule="exact"/>
              <w:ind w:right="90"/>
              <w:jc w:val="right"/>
              <w:rPr>
                <w:rFonts w:ascii="Calibri" w:eastAsiaTheme="minorHAnsi" w:hAnsi="Calibri" w:cs="Calibri"/>
                <w:sz w:val="24"/>
                <w:szCs w:val="24"/>
              </w:rPr>
            </w:pPr>
            <w:r w:rsidRPr="001100D5">
              <w:rPr>
                <w:rFonts w:ascii="Calibri" w:eastAsiaTheme="minorHAnsi" w:hAnsi="Calibri" w:cs="Calibri"/>
                <w:sz w:val="24"/>
                <w:szCs w:val="24"/>
              </w:rPr>
              <w:t>Eventuali altri contratti collegati (quinto</w:t>
            </w:r>
          </w:p>
          <w:p w14:paraId="31624A85" w14:textId="77777777" w:rsidR="00897775" w:rsidRPr="001100D5" w:rsidRDefault="002F7EE0">
            <w:pPr>
              <w:pStyle w:val="TableParagraph"/>
              <w:spacing w:before="20"/>
              <w:ind w:right="92"/>
              <w:jc w:val="right"/>
              <w:rPr>
                <w:rFonts w:ascii="Calibri" w:eastAsiaTheme="minorHAnsi" w:hAnsi="Calibri" w:cs="Calibri"/>
                <w:sz w:val="24"/>
                <w:szCs w:val="24"/>
              </w:rPr>
            </w:pPr>
            <w:r w:rsidRPr="001100D5">
              <w:rPr>
                <w:rFonts w:ascii="Calibri" w:eastAsiaTheme="minorHAnsi" w:hAnsi="Calibri" w:cs="Calibri"/>
                <w:sz w:val="24"/>
                <w:szCs w:val="24"/>
              </w:rPr>
              <w:t>d’obbligo, atti aggiuntivi)</w:t>
            </w:r>
          </w:p>
        </w:tc>
        <w:tc>
          <w:tcPr>
            <w:tcW w:w="5145" w:type="dxa"/>
            <w:vAlign w:val="center"/>
          </w:tcPr>
          <w:p w14:paraId="22D192DB" w14:textId="5A1FA2B8" w:rsidR="00897775" w:rsidRPr="001100D5" w:rsidRDefault="22A0E122" w:rsidP="00187D8B">
            <w:pPr>
              <w:pStyle w:val="TableParagraph"/>
              <w:jc w:val="both"/>
              <w:rPr>
                <w:rFonts w:ascii="Calibri" w:eastAsiaTheme="minorEastAsia" w:hAnsi="Calibri" w:cs="Calibri"/>
                <w:sz w:val="24"/>
                <w:szCs w:val="24"/>
              </w:rPr>
            </w:pPr>
            <w:proofErr w:type="spellStart"/>
            <w:r w:rsidRPr="001100D5">
              <w:rPr>
                <w:rFonts w:ascii="Calibri" w:eastAsiaTheme="minorEastAsia" w:hAnsi="Calibri" w:cs="Calibri"/>
                <w:sz w:val="24"/>
                <w:szCs w:val="24"/>
              </w:rPr>
              <w:t>n.d.</w:t>
            </w:r>
            <w:proofErr w:type="spellEnd"/>
          </w:p>
        </w:tc>
      </w:tr>
      <w:tr w:rsidR="001100D5" w:rsidRPr="001100D5" w14:paraId="7490AD98" w14:textId="77777777" w:rsidTr="21EC19F1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3B600A49" w14:textId="77777777" w:rsidR="00897775" w:rsidRPr="001100D5" w:rsidRDefault="002F7EE0">
            <w:pPr>
              <w:pStyle w:val="TableParagraph"/>
              <w:spacing w:line="251" w:lineRule="exact"/>
              <w:ind w:right="91"/>
              <w:jc w:val="right"/>
              <w:rPr>
                <w:rFonts w:ascii="Calibri" w:eastAsiaTheme="minorHAnsi" w:hAnsi="Calibri" w:cs="Calibri"/>
                <w:sz w:val="24"/>
                <w:szCs w:val="24"/>
              </w:rPr>
            </w:pPr>
            <w:r w:rsidRPr="001100D5">
              <w:rPr>
                <w:rFonts w:ascii="Calibri" w:eastAsiaTheme="minorHAnsi" w:hAnsi="Calibri" w:cs="Calibri"/>
                <w:sz w:val="24"/>
                <w:szCs w:val="24"/>
              </w:rPr>
              <w:t>Importo complessivo contratti collegati</w:t>
            </w:r>
          </w:p>
        </w:tc>
        <w:tc>
          <w:tcPr>
            <w:tcW w:w="5145" w:type="dxa"/>
          </w:tcPr>
          <w:p w14:paraId="6E775F52" w14:textId="3D2C9603" w:rsidR="00897775" w:rsidRPr="001100D5" w:rsidRDefault="5BAF54EE" w:rsidP="00187D8B">
            <w:pPr>
              <w:pStyle w:val="TableParagraph"/>
              <w:jc w:val="both"/>
              <w:rPr>
                <w:rFonts w:ascii="Calibri" w:eastAsiaTheme="minorEastAsia" w:hAnsi="Calibri" w:cs="Calibri"/>
                <w:sz w:val="24"/>
                <w:szCs w:val="24"/>
              </w:rPr>
            </w:pPr>
            <w:proofErr w:type="spellStart"/>
            <w:r w:rsidRPr="001100D5">
              <w:rPr>
                <w:rFonts w:ascii="Calibri" w:eastAsiaTheme="minorEastAsia" w:hAnsi="Calibri" w:cs="Calibri"/>
                <w:sz w:val="24"/>
                <w:szCs w:val="24"/>
              </w:rPr>
              <w:t>n.d.</w:t>
            </w:r>
            <w:proofErr w:type="spellEnd"/>
          </w:p>
        </w:tc>
      </w:tr>
      <w:tr w:rsidR="001100D5" w:rsidRPr="001100D5" w14:paraId="10CEA638" w14:textId="77777777" w:rsidTr="21EC19F1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D609421" w14:textId="77777777" w:rsidR="000E5599" w:rsidRPr="001100D5" w:rsidRDefault="000E5599" w:rsidP="000E5599">
            <w:pPr>
              <w:pStyle w:val="TableParagraph"/>
              <w:spacing w:line="251" w:lineRule="exact"/>
              <w:ind w:right="95"/>
              <w:jc w:val="right"/>
              <w:rPr>
                <w:rFonts w:ascii="Calibri" w:eastAsiaTheme="minorHAnsi" w:hAnsi="Calibri" w:cs="Calibri"/>
                <w:sz w:val="24"/>
                <w:szCs w:val="24"/>
              </w:rPr>
            </w:pPr>
            <w:r w:rsidRPr="001100D5">
              <w:rPr>
                <w:rFonts w:ascii="Calibri" w:eastAsiaTheme="minorHAnsi" w:hAnsi="Calibri" w:cs="Calibri"/>
                <w:sz w:val="24"/>
                <w:szCs w:val="24"/>
              </w:rPr>
              <w:t>Importo complessivo contratto base più</w:t>
            </w:r>
          </w:p>
          <w:p w14:paraId="2D1FB631" w14:textId="77777777" w:rsidR="000E5599" w:rsidRPr="001100D5" w:rsidRDefault="000E5599" w:rsidP="000E5599">
            <w:pPr>
              <w:pStyle w:val="TableParagraph"/>
              <w:spacing w:before="20"/>
              <w:ind w:right="94"/>
              <w:jc w:val="right"/>
              <w:rPr>
                <w:rFonts w:ascii="Calibri" w:eastAsiaTheme="minorHAnsi" w:hAnsi="Calibri" w:cs="Calibri"/>
                <w:sz w:val="24"/>
                <w:szCs w:val="24"/>
              </w:rPr>
            </w:pPr>
            <w:r w:rsidRPr="001100D5">
              <w:rPr>
                <w:rFonts w:ascii="Calibri" w:eastAsiaTheme="minorHAnsi" w:hAnsi="Calibri" w:cs="Calibri"/>
                <w:sz w:val="24"/>
                <w:szCs w:val="24"/>
              </w:rPr>
              <w:t>contratti collegati</w:t>
            </w:r>
          </w:p>
        </w:tc>
        <w:tc>
          <w:tcPr>
            <w:tcW w:w="5145" w:type="dxa"/>
            <w:vAlign w:val="center"/>
          </w:tcPr>
          <w:p w14:paraId="2045B08B" w14:textId="77777777" w:rsidR="000E5599" w:rsidRPr="001100D5" w:rsidRDefault="000E5599" w:rsidP="000E5599">
            <w:pPr>
              <w:jc w:val="both"/>
            </w:pPr>
            <w:r w:rsidRPr="001100D5">
              <w:rPr>
                <w:rFonts w:ascii="Calibri" w:eastAsiaTheme="minorEastAsia" w:hAnsi="Calibri" w:cs="Calibri"/>
                <w:sz w:val="24"/>
                <w:szCs w:val="24"/>
              </w:rPr>
              <w:t xml:space="preserve">€ 6.557.225,00 (IVA esclusa) </w:t>
            </w:r>
          </w:p>
          <w:p w14:paraId="349D478C" w14:textId="2C929A5E" w:rsidR="000E5599" w:rsidRPr="001100D5" w:rsidRDefault="000E5599" w:rsidP="000E5599">
            <w:pPr>
              <w:pStyle w:val="TableParagraph"/>
              <w:jc w:val="both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1100D5">
              <w:rPr>
                <w:rFonts w:ascii="Calibri" w:eastAsiaTheme="minorEastAsia" w:hAnsi="Calibri" w:cs="Calibri"/>
                <w:sz w:val="24"/>
                <w:szCs w:val="24"/>
              </w:rPr>
              <w:t xml:space="preserve">€ 7.999.814,50 (IVA inclusa) </w:t>
            </w:r>
          </w:p>
        </w:tc>
      </w:tr>
      <w:tr w:rsidR="001100D5" w:rsidRPr="001100D5" w14:paraId="3A7273BD" w14:textId="77777777" w:rsidTr="21EC19F1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2CB7C72" w14:textId="77777777" w:rsidR="000E5599" w:rsidRPr="001100D5" w:rsidRDefault="000E5599" w:rsidP="000E5599">
            <w:pPr>
              <w:pStyle w:val="TableParagraph"/>
              <w:spacing w:line="251" w:lineRule="exact"/>
              <w:ind w:right="94"/>
              <w:jc w:val="right"/>
              <w:rPr>
                <w:rFonts w:ascii="Calibri" w:eastAsiaTheme="minorHAnsi" w:hAnsi="Calibri" w:cs="Calibri"/>
                <w:sz w:val="24"/>
                <w:szCs w:val="24"/>
              </w:rPr>
            </w:pPr>
            <w:r w:rsidRPr="001100D5">
              <w:rPr>
                <w:rFonts w:ascii="Calibri" w:eastAsiaTheme="minorHAnsi" w:hAnsi="Calibri" w:cs="Calibri"/>
                <w:sz w:val="24"/>
                <w:szCs w:val="24"/>
              </w:rPr>
              <w:t>Eventuali proroghe collegate</w:t>
            </w:r>
          </w:p>
        </w:tc>
        <w:tc>
          <w:tcPr>
            <w:tcW w:w="5145" w:type="dxa"/>
          </w:tcPr>
          <w:p w14:paraId="337213E8" w14:textId="538E2352" w:rsidR="000E5599" w:rsidRPr="001100D5" w:rsidRDefault="000E5599" w:rsidP="000E5599">
            <w:pPr>
              <w:pStyle w:val="TableParagraph"/>
              <w:jc w:val="both"/>
              <w:rPr>
                <w:rFonts w:ascii="Calibri" w:eastAsiaTheme="minorEastAsia" w:hAnsi="Calibri" w:cs="Calibri"/>
                <w:sz w:val="24"/>
                <w:szCs w:val="24"/>
              </w:rPr>
            </w:pPr>
            <w:proofErr w:type="spellStart"/>
            <w:r w:rsidRPr="001100D5">
              <w:rPr>
                <w:rFonts w:ascii="Calibri" w:eastAsiaTheme="minorEastAsia" w:hAnsi="Calibri" w:cs="Calibri"/>
                <w:sz w:val="24"/>
                <w:szCs w:val="24"/>
              </w:rPr>
              <w:t>n.d.</w:t>
            </w:r>
            <w:proofErr w:type="spellEnd"/>
          </w:p>
        </w:tc>
      </w:tr>
      <w:tr w:rsidR="001100D5" w:rsidRPr="001100D5" w14:paraId="21CE5E2A" w14:textId="77777777" w:rsidTr="21EC19F1">
        <w:trPr>
          <w:trHeight w:val="498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53CEE5F0" w14:textId="77777777" w:rsidR="000E5599" w:rsidRPr="001100D5" w:rsidRDefault="000E5599" w:rsidP="000E5599">
            <w:pPr>
              <w:pStyle w:val="TableParagraph"/>
              <w:spacing w:line="251" w:lineRule="exact"/>
              <w:ind w:right="91"/>
              <w:jc w:val="right"/>
              <w:rPr>
                <w:rFonts w:ascii="Calibri" w:eastAsiaTheme="minorHAnsi" w:hAnsi="Calibri" w:cs="Calibri"/>
                <w:sz w:val="24"/>
                <w:szCs w:val="24"/>
              </w:rPr>
            </w:pPr>
            <w:r w:rsidRPr="001100D5">
              <w:rPr>
                <w:rFonts w:ascii="Calibri" w:eastAsiaTheme="minorHAnsi" w:hAnsi="Calibri" w:cs="Calibri"/>
                <w:sz w:val="24"/>
                <w:szCs w:val="24"/>
              </w:rPr>
              <w:t>Data stipula proroghe</w:t>
            </w:r>
          </w:p>
        </w:tc>
        <w:tc>
          <w:tcPr>
            <w:tcW w:w="5145" w:type="dxa"/>
          </w:tcPr>
          <w:p w14:paraId="4357FE94" w14:textId="0BF2DB27" w:rsidR="000E5599" w:rsidRPr="001100D5" w:rsidRDefault="000E5599" w:rsidP="000E5599">
            <w:pPr>
              <w:pStyle w:val="TableParagraph"/>
              <w:jc w:val="both"/>
              <w:rPr>
                <w:rFonts w:ascii="Calibri" w:eastAsiaTheme="minorEastAsia" w:hAnsi="Calibri" w:cs="Calibri"/>
                <w:sz w:val="24"/>
                <w:szCs w:val="24"/>
              </w:rPr>
            </w:pPr>
            <w:proofErr w:type="spellStart"/>
            <w:r w:rsidRPr="001100D5">
              <w:rPr>
                <w:rFonts w:ascii="Calibri" w:eastAsiaTheme="minorEastAsia" w:hAnsi="Calibri" w:cs="Calibri"/>
                <w:sz w:val="24"/>
                <w:szCs w:val="24"/>
              </w:rPr>
              <w:t>n.d.</w:t>
            </w:r>
            <w:proofErr w:type="spellEnd"/>
          </w:p>
        </w:tc>
      </w:tr>
      <w:tr w:rsidR="001100D5" w:rsidRPr="001100D5" w14:paraId="3F781470" w14:textId="77777777" w:rsidTr="21EC19F1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04FF4867" w14:textId="77777777" w:rsidR="000E5599" w:rsidRPr="001100D5" w:rsidRDefault="000E5599" w:rsidP="000E5599">
            <w:pPr>
              <w:pStyle w:val="TableParagraph"/>
              <w:spacing w:line="251" w:lineRule="exact"/>
              <w:ind w:right="93"/>
              <w:jc w:val="right"/>
              <w:rPr>
                <w:rFonts w:ascii="Calibri" w:eastAsiaTheme="minorHAnsi" w:hAnsi="Calibri" w:cs="Calibri"/>
                <w:sz w:val="24"/>
                <w:szCs w:val="24"/>
              </w:rPr>
            </w:pPr>
            <w:r w:rsidRPr="001100D5">
              <w:rPr>
                <w:rFonts w:ascii="Calibri" w:eastAsiaTheme="minorHAnsi" w:hAnsi="Calibri" w:cs="Calibri"/>
                <w:sz w:val="24"/>
                <w:szCs w:val="24"/>
              </w:rPr>
              <w:t>Data inizio – data fine proroghe</w:t>
            </w:r>
          </w:p>
        </w:tc>
        <w:tc>
          <w:tcPr>
            <w:tcW w:w="5145" w:type="dxa"/>
          </w:tcPr>
          <w:p w14:paraId="50895469" w14:textId="52D2B4CB" w:rsidR="000E5599" w:rsidRPr="001100D5" w:rsidRDefault="000E5599" w:rsidP="000E5599">
            <w:pPr>
              <w:pStyle w:val="TableParagraph"/>
              <w:jc w:val="both"/>
              <w:rPr>
                <w:rFonts w:ascii="Calibri" w:eastAsiaTheme="minorEastAsia" w:hAnsi="Calibri" w:cs="Calibri"/>
                <w:sz w:val="24"/>
                <w:szCs w:val="24"/>
              </w:rPr>
            </w:pPr>
            <w:proofErr w:type="spellStart"/>
            <w:r w:rsidRPr="001100D5">
              <w:rPr>
                <w:rFonts w:ascii="Calibri" w:eastAsiaTheme="minorEastAsia" w:hAnsi="Calibri" w:cs="Calibri"/>
                <w:sz w:val="24"/>
                <w:szCs w:val="24"/>
              </w:rPr>
              <w:t>n.d.</w:t>
            </w:r>
            <w:proofErr w:type="spellEnd"/>
          </w:p>
        </w:tc>
      </w:tr>
      <w:tr w:rsidR="001100D5" w:rsidRPr="001100D5" w14:paraId="2E776E98" w14:textId="77777777" w:rsidTr="21EC19F1">
        <w:trPr>
          <w:trHeight w:val="50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7CB4F3C9" w14:textId="77777777" w:rsidR="000E5599" w:rsidRPr="001100D5" w:rsidRDefault="000E5599" w:rsidP="000E5599">
            <w:pPr>
              <w:pStyle w:val="TableParagraph"/>
              <w:spacing w:line="251" w:lineRule="exact"/>
              <w:ind w:right="93"/>
              <w:jc w:val="right"/>
              <w:rPr>
                <w:rFonts w:ascii="Calibri" w:eastAsiaTheme="minorHAnsi" w:hAnsi="Calibri" w:cs="Calibri"/>
                <w:sz w:val="24"/>
                <w:szCs w:val="24"/>
              </w:rPr>
            </w:pPr>
            <w:r w:rsidRPr="001100D5">
              <w:rPr>
                <w:rFonts w:ascii="Calibri" w:eastAsiaTheme="minorHAnsi" w:hAnsi="Calibri" w:cs="Calibri"/>
                <w:sz w:val="24"/>
                <w:szCs w:val="24"/>
              </w:rPr>
              <w:t>Importo complessivo proroghe</w:t>
            </w:r>
          </w:p>
        </w:tc>
        <w:tc>
          <w:tcPr>
            <w:tcW w:w="5145" w:type="dxa"/>
          </w:tcPr>
          <w:p w14:paraId="44F963D3" w14:textId="2611C09F" w:rsidR="000E5599" w:rsidRPr="001100D5" w:rsidRDefault="000E5599" w:rsidP="000E5599">
            <w:pPr>
              <w:pStyle w:val="TableParagraph"/>
              <w:jc w:val="both"/>
              <w:rPr>
                <w:rFonts w:ascii="Calibri" w:eastAsiaTheme="minorEastAsia" w:hAnsi="Calibri" w:cs="Calibri"/>
                <w:sz w:val="24"/>
                <w:szCs w:val="24"/>
              </w:rPr>
            </w:pPr>
            <w:proofErr w:type="spellStart"/>
            <w:r w:rsidRPr="001100D5">
              <w:rPr>
                <w:rFonts w:ascii="Calibri" w:eastAsiaTheme="minorEastAsia" w:hAnsi="Calibri" w:cs="Calibri"/>
                <w:sz w:val="24"/>
                <w:szCs w:val="24"/>
              </w:rPr>
              <w:t>n.d.</w:t>
            </w:r>
            <w:proofErr w:type="spellEnd"/>
          </w:p>
        </w:tc>
      </w:tr>
      <w:tr w:rsidR="001100D5" w:rsidRPr="001100D5" w14:paraId="32E316A1" w14:textId="77777777" w:rsidTr="21EC19F1">
        <w:trPr>
          <w:trHeight w:val="499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36DA8800" w14:textId="77777777" w:rsidR="000E5599" w:rsidRPr="001100D5" w:rsidRDefault="000E5599" w:rsidP="000E5599">
            <w:pPr>
              <w:pStyle w:val="TableParagraph"/>
              <w:spacing w:line="253" w:lineRule="exact"/>
              <w:ind w:right="93"/>
              <w:jc w:val="right"/>
              <w:rPr>
                <w:rFonts w:ascii="Calibri" w:eastAsiaTheme="minorHAnsi" w:hAnsi="Calibri" w:cs="Calibri"/>
                <w:sz w:val="24"/>
                <w:szCs w:val="24"/>
              </w:rPr>
            </w:pPr>
            <w:r w:rsidRPr="001100D5">
              <w:rPr>
                <w:rFonts w:ascii="Calibri" w:eastAsiaTheme="minorHAnsi" w:hAnsi="Calibri" w:cs="Calibri"/>
                <w:sz w:val="24"/>
                <w:szCs w:val="24"/>
              </w:rPr>
              <w:t>Importo totale contratti e proroghe</w:t>
            </w:r>
          </w:p>
        </w:tc>
        <w:tc>
          <w:tcPr>
            <w:tcW w:w="5145" w:type="dxa"/>
            <w:vAlign w:val="center"/>
          </w:tcPr>
          <w:p w14:paraId="5452F2AE" w14:textId="77777777" w:rsidR="000E5599" w:rsidRPr="001100D5" w:rsidRDefault="000E5599" w:rsidP="000E5599">
            <w:pPr>
              <w:jc w:val="both"/>
            </w:pPr>
            <w:r w:rsidRPr="001100D5">
              <w:rPr>
                <w:rFonts w:ascii="Calibri" w:eastAsiaTheme="minorEastAsia" w:hAnsi="Calibri" w:cs="Calibri"/>
                <w:sz w:val="24"/>
                <w:szCs w:val="24"/>
              </w:rPr>
              <w:t xml:space="preserve">€ 6.557.225,00 (IVA esclusa) </w:t>
            </w:r>
          </w:p>
          <w:p w14:paraId="78A0261D" w14:textId="0D34EFDB" w:rsidR="000E5599" w:rsidRPr="001100D5" w:rsidRDefault="000E5599" w:rsidP="000E5599">
            <w:pPr>
              <w:pStyle w:val="TableParagraph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1100D5">
              <w:rPr>
                <w:rFonts w:ascii="Calibri" w:eastAsiaTheme="minorEastAsia" w:hAnsi="Calibri" w:cs="Calibri"/>
                <w:sz w:val="24"/>
                <w:szCs w:val="24"/>
              </w:rPr>
              <w:t xml:space="preserve">€ 7.999.814,50 (IVA inclusa) </w:t>
            </w:r>
          </w:p>
        </w:tc>
      </w:tr>
    </w:tbl>
    <w:p w14:paraId="638696FC" w14:textId="469F87E3" w:rsidR="00B25A04" w:rsidRPr="001100D5" w:rsidRDefault="00B25A04">
      <w:pPr>
        <w:pStyle w:val="BodyText"/>
        <w:rPr>
          <w:rFonts w:ascii="Calibri" w:eastAsiaTheme="minorHAnsi" w:hAnsi="Calibri" w:cs="Calibri"/>
        </w:rPr>
      </w:pPr>
    </w:p>
    <w:p w14:paraId="5D19ECD5" w14:textId="43158521" w:rsidR="00897775" w:rsidRPr="001100D5" w:rsidRDefault="00897775" w:rsidP="005C4C12">
      <w:pPr>
        <w:rPr>
          <w:rFonts w:ascii="Calibri" w:hAnsi="Calibri" w:cs="Calibri"/>
          <w:sz w:val="20"/>
        </w:rPr>
      </w:pPr>
    </w:p>
    <w:p w14:paraId="2BA10EF8" w14:textId="4C549AE0" w:rsidR="005C4C12" w:rsidRPr="001100D5" w:rsidRDefault="005C4C12" w:rsidP="005C4C12">
      <w:pPr>
        <w:rPr>
          <w:rFonts w:ascii="Calibri" w:hAnsi="Calibri" w:cs="Calibri"/>
          <w:sz w:val="20"/>
        </w:rPr>
      </w:pPr>
    </w:p>
    <w:p w14:paraId="64C67244" w14:textId="20384876" w:rsidR="005C4C12" w:rsidRPr="001100D5" w:rsidRDefault="005C4C12" w:rsidP="005C4C12">
      <w:pPr>
        <w:rPr>
          <w:rFonts w:ascii="Calibri" w:hAnsi="Calibri" w:cs="Calibri"/>
          <w:sz w:val="20"/>
        </w:rPr>
      </w:pPr>
    </w:p>
    <w:p w14:paraId="2A40A3F8" w14:textId="239A1A94" w:rsidR="005C4C12" w:rsidRPr="001100D5" w:rsidRDefault="005C4C12" w:rsidP="005C4C12">
      <w:pPr>
        <w:rPr>
          <w:rFonts w:ascii="Calibri" w:hAnsi="Calibri" w:cs="Calibri"/>
          <w:sz w:val="20"/>
        </w:rPr>
      </w:pPr>
    </w:p>
    <w:p w14:paraId="69FA63F3" w14:textId="5684255A" w:rsidR="005C4C12" w:rsidRPr="001100D5" w:rsidRDefault="005C4C12" w:rsidP="005C4C12">
      <w:pPr>
        <w:rPr>
          <w:rFonts w:ascii="Calibri" w:hAnsi="Calibri" w:cs="Calibri"/>
          <w:sz w:val="20"/>
        </w:rPr>
      </w:pPr>
    </w:p>
    <w:p w14:paraId="2699CE5B" w14:textId="77777777" w:rsidR="00C752A6" w:rsidRPr="001100D5" w:rsidRDefault="00C752A6" w:rsidP="005C4C12">
      <w:pPr>
        <w:rPr>
          <w:rFonts w:ascii="Calibri" w:hAnsi="Calibri" w:cs="Calibri"/>
          <w:sz w:val="20"/>
        </w:rPr>
      </w:pPr>
    </w:p>
    <w:p w14:paraId="335279C6" w14:textId="29639A56" w:rsidR="005C4C12" w:rsidRPr="001100D5" w:rsidRDefault="005C4C12" w:rsidP="005C4C12">
      <w:pPr>
        <w:rPr>
          <w:rFonts w:ascii="Calibri" w:hAnsi="Calibri" w:cs="Calibri"/>
          <w:sz w:val="20"/>
        </w:rPr>
      </w:pPr>
    </w:p>
    <w:p w14:paraId="54D2F3E9" w14:textId="77777777" w:rsidR="005C4C12" w:rsidRPr="001100D5" w:rsidRDefault="005C4C12" w:rsidP="005C4C12">
      <w:pPr>
        <w:rPr>
          <w:rFonts w:ascii="Calibri" w:hAnsi="Calibri" w:cs="Calibri"/>
          <w:sz w:val="20"/>
          <w:szCs w:val="24"/>
        </w:rPr>
      </w:pPr>
    </w:p>
    <w:p w14:paraId="348B57C3" w14:textId="049CF720" w:rsidR="00897775" w:rsidRPr="001100D5" w:rsidRDefault="002F7EE0" w:rsidP="005906E3">
      <w:pPr>
        <w:pStyle w:val="Heading1"/>
        <w:jc w:val="both"/>
      </w:pPr>
      <w:bookmarkStart w:id="1" w:name="_Toc177384157"/>
      <w:r w:rsidRPr="001100D5">
        <w:t>INTRODUZIONE</w:t>
      </w:r>
      <w:bookmarkEnd w:id="1"/>
    </w:p>
    <w:p w14:paraId="14C12A25" w14:textId="77777777" w:rsidR="00593B70" w:rsidRPr="001100D5" w:rsidRDefault="00593B70" w:rsidP="005D10B2"/>
    <w:p w14:paraId="60B29D7E" w14:textId="3F25F989" w:rsidR="00897775" w:rsidRPr="001100D5" w:rsidRDefault="051F36A0" w:rsidP="00187D8B">
      <w:pPr>
        <w:pStyle w:val="Heading2"/>
        <w:numPr>
          <w:ilvl w:val="0"/>
          <w:numId w:val="0"/>
        </w:numPr>
        <w:jc w:val="both"/>
      </w:pPr>
      <w:bookmarkStart w:id="2" w:name="_Toc177384158"/>
      <w:r w:rsidRPr="001100D5">
        <w:t xml:space="preserve">2.1 </w:t>
      </w:r>
      <w:r w:rsidR="4A526C33" w:rsidRPr="001100D5">
        <w:t>BREVE</w:t>
      </w:r>
      <w:r w:rsidR="4A526C33" w:rsidRPr="001100D5">
        <w:rPr>
          <w:spacing w:val="-4"/>
        </w:rPr>
        <w:t xml:space="preserve"> </w:t>
      </w:r>
      <w:r w:rsidR="4A526C33" w:rsidRPr="001100D5">
        <w:t>DESCRIZIONE</w:t>
      </w:r>
      <w:r w:rsidR="4A526C33" w:rsidRPr="001100D5">
        <w:rPr>
          <w:spacing w:val="-3"/>
        </w:rPr>
        <w:t xml:space="preserve"> </w:t>
      </w:r>
      <w:r w:rsidR="4A526C33" w:rsidRPr="001100D5">
        <w:t>DEL</w:t>
      </w:r>
      <w:r w:rsidR="4A526C33" w:rsidRPr="001100D5">
        <w:rPr>
          <w:spacing w:val="-5"/>
        </w:rPr>
        <w:t xml:space="preserve"> </w:t>
      </w:r>
      <w:r w:rsidR="4A526C33" w:rsidRPr="001100D5">
        <w:t>CONTRATTO</w:t>
      </w:r>
      <w:r w:rsidR="4A526C33" w:rsidRPr="001100D5">
        <w:rPr>
          <w:spacing w:val="-3"/>
        </w:rPr>
        <w:t xml:space="preserve"> </w:t>
      </w:r>
      <w:r w:rsidR="4A526C33" w:rsidRPr="001100D5">
        <w:t>E</w:t>
      </w:r>
      <w:r w:rsidR="4A526C33" w:rsidRPr="001100D5">
        <w:rPr>
          <w:spacing w:val="-4"/>
        </w:rPr>
        <w:t xml:space="preserve"> </w:t>
      </w:r>
      <w:r w:rsidR="4A526C33" w:rsidRPr="001100D5">
        <w:t>DEGLI</w:t>
      </w:r>
      <w:r w:rsidR="4A526C33" w:rsidRPr="001100D5">
        <w:rPr>
          <w:spacing w:val="-3"/>
        </w:rPr>
        <w:t xml:space="preserve"> </w:t>
      </w:r>
      <w:r w:rsidR="4A526C33" w:rsidRPr="001100D5">
        <w:t>EVENTUALI</w:t>
      </w:r>
      <w:r w:rsidR="4A526C33" w:rsidRPr="001100D5">
        <w:rPr>
          <w:spacing w:val="-1"/>
        </w:rPr>
        <w:t xml:space="preserve"> </w:t>
      </w:r>
      <w:r w:rsidR="4A526C33" w:rsidRPr="001100D5">
        <w:t>ATTI</w:t>
      </w:r>
      <w:r w:rsidR="4A526C33" w:rsidRPr="001100D5">
        <w:rPr>
          <w:spacing w:val="-4"/>
        </w:rPr>
        <w:t xml:space="preserve"> </w:t>
      </w:r>
      <w:r w:rsidR="4A526C33" w:rsidRPr="001100D5">
        <w:t>COLLEGATI</w:t>
      </w:r>
      <w:bookmarkEnd w:id="2"/>
    </w:p>
    <w:p w14:paraId="2F45BC6E" w14:textId="0BFFF875" w:rsidR="007D64BD" w:rsidRPr="001100D5" w:rsidRDefault="145BB471" w:rsidP="21EC19F1">
      <w:pPr>
        <w:pStyle w:val="BodyText"/>
        <w:tabs>
          <w:tab w:val="left" w:pos="9072"/>
        </w:tabs>
        <w:spacing w:before="46" w:line="247" w:lineRule="auto"/>
        <w:jc w:val="both"/>
      </w:pPr>
      <w:bookmarkStart w:id="3" w:name="_Hlk112948199"/>
      <w:bookmarkEnd w:id="3"/>
      <w:r w:rsidRPr="001100D5">
        <w:rPr>
          <w:i/>
          <w:iCs/>
        </w:rPr>
        <w:t>Con l’adesione all’Accordo Quadro, intende dotarsi dei servizi applicativi Data Management e dei relativi servizi di PMO per la realizzazione del sistema di Data Lake. Di seguito vengo riportati i servizi erogati:</w:t>
      </w:r>
    </w:p>
    <w:p w14:paraId="18687CC7" w14:textId="40462DBB" w:rsidR="007D64BD" w:rsidRPr="001100D5" w:rsidRDefault="20BB4F35" w:rsidP="21EC19F1">
      <w:pPr>
        <w:pStyle w:val="BodyText"/>
        <w:tabs>
          <w:tab w:val="left" w:pos="9072"/>
        </w:tabs>
        <w:spacing w:before="46" w:line="247" w:lineRule="auto"/>
        <w:jc w:val="both"/>
        <w:rPr>
          <w:i/>
          <w:iCs/>
        </w:rPr>
      </w:pPr>
      <w:r w:rsidRPr="001100D5">
        <w:rPr>
          <w:i/>
          <w:iCs/>
        </w:rPr>
        <w:t xml:space="preserve">SVI - Sviluppo e MEV del software </w:t>
      </w:r>
    </w:p>
    <w:p w14:paraId="63F749A1" w14:textId="286274E0" w:rsidR="007D64BD" w:rsidRPr="001100D5" w:rsidRDefault="20BB4F35" w:rsidP="21EC19F1">
      <w:pPr>
        <w:pStyle w:val="BodyText"/>
        <w:tabs>
          <w:tab w:val="left" w:pos="9072"/>
        </w:tabs>
        <w:spacing w:before="46" w:line="247" w:lineRule="auto"/>
        <w:jc w:val="both"/>
        <w:rPr>
          <w:i/>
          <w:iCs/>
        </w:rPr>
      </w:pPr>
      <w:r w:rsidRPr="001100D5">
        <w:rPr>
          <w:i/>
          <w:iCs/>
        </w:rPr>
        <w:t xml:space="preserve">MAC -  </w:t>
      </w:r>
      <w:proofErr w:type="spellStart"/>
      <w:r w:rsidRPr="001100D5">
        <w:rPr>
          <w:i/>
          <w:iCs/>
        </w:rPr>
        <w:t>M</w:t>
      </w:r>
      <w:r w:rsidR="1E0474F7" w:rsidRPr="001100D5">
        <w:rPr>
          <w:i/>
          <w:iCs/>
        </w:rPr>
        <w:t>anutezione</w:t>
      </w:r>
      <w:proofErr w:type="spellEnd"/>
      <w:r w:rsidR="1E0474F7" w:rsidRPr="001100D5">
        <w:rPr>
          <w:i/>
          <w:iCs/>
        </w:rPr>
        <w:t xml:space="preserve"> </w:t>
      </w:r>
      <w:proofErr w:type="spellStart"/>
      <w:r w:rsidR="1E0474F7" w:rsidRPr="001100D5">
        <w:rPr>
          <w:i/>
          <w:iCs/>
        </w:rPr>
        <w:t>Correttiva</w:t>
      </w:r>
      <w:r w:rsidRPr="001100D5">
        <w:rPr>
          <w:i/>
          <w:iCs/>
        </w:rPr>
        <w:t>“SW</w:t>
      </w:r>
      <w:proofErr w:type="spellEnd"/>
      <w:r w:rsidRPr="001100D5">
        <w:rPr>
          <w:i/>
          <w:iCs/>
        </w:rPr>
        <w:t xml:space="preserve"> pregresso e non in garanzia” </w:t>
      </w:r>
    </w:p>
    <w:p w14:paraId="15D2D7F2" w14:textId="1FCAC368" w:rsidR="007D64BD" w:rsidRPr="001100D5" w:rsidRDefault="20BB4F35" w:rsidP="21EC19F1">
      <w:pPr>
        <w:pStyle w:val="BodyText"/>
        <w:tabs>
          <w:tab w:val="left" w:pos="9072"/>
        </w:tabs>
        <w:spacing w:before="46" w:line="247" w:lineRule="auto"/>
        <w:jc w:val="both"/>
      </w:pPr>
      <w:r w:rsidRPr="001100D5">
        <w:rPr>
          <w:i/>
          <w:iCs/>
        </w:rPr>
        <w:t xml:space="preserve">SS - Supporto Tecnico Specialistico ICT </w:t>
      </w:r>
    </w:p>
    <w:p w14:paraId="5E36983A" w14:textId="663FF02B" w:rsidR="007D64BD" w:rsidRPr="001100D5" w:rsidRDefault="20BB4F35" w:rsidP="21EC19F1">
      <w:pPr>
        <w:pStyle w:val="BodyText"/>
        <w:tabs>
          <w:tab w:val="left" w:pos="9072"/>
        </w:tabs>
        <w:spacing w:before="46" w:line="247" w:lineRule="auto"/>
        <w:jc w:val="both"/>
      </w:pPr>
      <w:r w:rsidRPr="001100D5">
        <w:rPr>
          <w:i/>
          <w:iCs/>
        </w:rPr>
        <w:t>GA - Gestione del Portafoglio Applicativo</w:t>
      </w:r>
    </w:p>
    <w:p w14:paraId="65AA02C8" w14:textId="6D17BC7F" w:rsidR="007D64BD" w:rsidRPr="001100D5" w:rsidRDefault="007D64BD" w:rsidP="21EC19F1">
      <w:pPr>
        <w:pStyle w:val="BodyText"/>
        <w:tabs>
          <w:tab w:val="left" w:pos="9072"/>
        </w:tabs>
        <w:spacing w:before="46" w:line="247" w:lineRule="auto"/>
        <w:jc w:val="both"/>
        <w:rPr>
          <w:rFonts w:ascii="Calibri" w:eastAsiaTheme="minorEastAsia" w:hAnsi="Calibri" w:cs="Calibri"/>
        </w:rPr>
      </w:pPr>
    </w:p>
    <w:p w14:paraId="4D18F05C" w14:textId="49AB06A7" w:rsidR="000268CC" w:rsidRDefault="002F7EE0" w:rsidP="00401A15">
      <w:pPr>
        <w:pStyle w:val="Heading2"/>
        <w:numPr>
          <w:ilvl w:val="1"/>
          <w:numId w:val="3"/>
        </w:numPr>
        <w:jc w:val="both"/>
      </w:pPr>
      <w:bookmarkStart w:id="4" w:name="_Toc177384159"/>
      <w:r w:rsidRPr="001100D5">
        <w:t>BREVE DESCRIZIONE DEI SERVIZI CONTRATTUALI</w:t>
      </w:r>
      <w:bookmarkEnd w:id="4"/>
    </w:p>
    <w:p w14:paraId="46BBD7C0" w14:textId="77777777" w:rsidR="000C68D0" w:rsidRPr="000C68D0" w:rsidRDefault="000C68D0" w:rsidP="000C68D0">
      <w:pPr>
        <w:pStyle w:val="BodyText"/>
        <w:tabs>
          <w:tab w:val="left" w:pos="9072"/>
        </w:tabs>
        <w:spacing w:before="46" w:line="247" w:lineRule="auto"/>
        <w:jc w:val="both"/>
      </w:pPr>
    </w:p>
    <w:p w14:paraId="7CAD6DE1" w14:textId="74A959D5" w:rsidR="5459DE38" w:rsidRPr="000C68D0" w:rsidRDefault="479DD1D6" w:rsidP="000C68D0">
      <w:pPr>
        <w:pStyle w:val="Heading3"/>
        <w:rPr>
          <w:rFonts w:eastAsia="Times New Roman"/>
          <w:color w:val="auto"/>
        </w:rPr>
      </w:pPr>
      <w:bookmarkStart w:id="5" w:name="_Toc177384160"/>
      <w:r w:rsidRPr="000C68D0">
        <w:rPr>
          <w:color w:val="auto"/>
        </w:rPr>
        <w:t>SVILUPPO</w:t>
      </w:r>
      <w:r w:rsidRPr="000C68D0">
        <w:rPr>
          <w:rFonts w:eastAsia="Times New Roman"/>
          <w:color w:val="auto"/>
        </w:rPr>
        <w:t xml:space="preserve"> E MANUTENZIONE EVOLUTIVA DEL SOFTWARE (SVI)</w:t>
      </w:r>
      <w:bookmarkEnd w:id="5"/>
      <w:r w:rsidRPr="000C68D0">
        <w:rPr>
          <w:rFonts w:eastAsia="Times New Roman"/>
          <w:color w:val="auto"/>
        </w:rPr>
        <w:t xml:space="preserve"> </w:t>
      </w:r>
    </w:p>
    <w:p w14:paraId="467C5C2D" w14:textId="7351B00F" w:rsidR="00FE5C44" w:rsidRPr="001100D5" w:rsidRDefault="256518F8" w:rsidP="005906E3">
      <w:pPr>
        <w:pStyle w:val="BodyText"/>
        <w:tabs>
          <w:tab w:val="left" w:pos="9072"/>
        </w:tabs>
        <w:spacing w:before="117"/>
        <w:jc w:val="both"/>
      </w:pPr>
      <w:r w:rsidRPr="000C68D0">
        <w:rPr>
          <w:i/>
          <w:iCs/>
        </w:rPr>
        <w:t>Il Servizio di Sviluppo e Manutenzione evolutiva del software (SVI) riguarda la realizzazione ex-novo,</w:t>
      </w:r>
      <w:r w:rsidR="5C8696B9" w:rsidRPr="000C68D0">
        <w:rPr>
          <w:i/>
          <w:iCs/>
        </w:rPr>
        <w:t xml:space="preserve"> </w:t>
      </w:r>
      <w:r w:rsidRPr="000C68D0">
        <w:rPr>
          <w:i/>
          <w:iCs/>
        </w:rPr>
        <w:t>l’evoluzione e la reingegnerizzazione di applicazioni, moduli e componenti informatiche dell’Amministrazione</w:t>
      </w:r>
      <w:r w:rsidR="0DAEC292" w:rsidRPr="000C68D0">
        <w:rPr>
          <w:i/>
          <w:iCs/>
        </w:rPr>
        <w:t xml:space="preserve"> </w:t>
      </w:r>
      <w:r w:rsidRPr="000C68D0">
        <w:rPr>
          <w:i/>
          <w:iCs/>
        </w:rPr>
        <w:t xml:space="preserve">Giustizia. In particolare, il servizio include tutte le attività di sviluppo ex-novo di </w:t>
      </w:r>
      <w:r w:rsidRPr="001100D5">
        <w:rPr>
          <w:i/>
          <w:iCs/>
        </w:rPr>
        <w:t>nuovi sistemi informativi e</w:t>
      </w:r>
      <w:r w:rsidR="795FFD0C" w:rsidRPr="001100D5">
        <w:rPr>
          <w:i/>
          <w:iCs/>
        </w:rPr>
        <w:t xml:space="preserve"> </w:t>
      </w:r>
      <w:r w:rsidRPr="001100D5">
        <w:rPr>
          <w:i/>
          <w:iCs/>
        </w:rPr>
        <w:t>applicazioni o parti autonome degli stessi, e gli interventi volti ad</w:t>
      </w:r>
      <w:r w:rsidR="69679932" w:rsidRPr="001100D5">
        <w:rPr>
          <w:i/>
          <w:iCs/>
        </w:rPr>
        <w:t xml:space="preserve"> </w:t>
      </w:r>
      <w:r w:rsidRPr="001100D5">
        <w:rPr>
          <w:i/>
          <w:iCs/>
        </w:rPr>
        <w:t>arricchire il software esistente di nuove caratteristiche e funzionalità, o comunque a modificare e/o integrare</w:t>
      </w:r>
      <w:r w:rsidR="2D56DAD3" w:rsidRPr="001100D5">
        <w:rPr>
          <w:i/>
          <w:iCs/>
        </w:rPr>
        <w:t xml:space="preserve"> </w:t>
      </w:r>
      <w:r w:rsidRPr="001100D5">
        <w:rPr>
          <w:i/>
          <w:iCs/>
        </w:rPr>
        <w:t>le funzionalità già esistenti. Rientrano inoltre in questo servizio:</w:t>
      </w:r>
    </w:p>
    <w:p w14:paraId="22DFDC83" w14:textId="3263C25B" w:rsidR="00FE5C44" w:rsidRPr="001100D5" w:rsidRDefault="256518F8" w:rsidP="005906E3">
      <w:pPr>
        <w:pStyle w:val="BodyText"/>
        <w:tabs>
          <w:tab w:val="left" w:pos="9072"/>
        </w:tabs>
        <w:spacing w:before="117"/>
        <w:jc w:val="both"/>
      </w:pPr>
      <w:r w:rsidRPr="001100D5">
        <w:rPr>
          <w:i/>
          <w:iCs/>
        </w:rPr>
        <w:t>• i progetti “green field”, ossia progetti che creano interi nuovi sistemi o applicazioni non esistenti in</w:t>
      </w:r>
      <w:r w:rsidR="12E3D6F2" w:rsidRPr="001100D5">
        <w:rPr>
          <w:i/>
          <w:iCs/>
        </w:rPr>
        <w:t xml:space="preserve"> </w:t>
      </w:r>
      <w:r w:rsidRPr="001100D5">
        <w:rPr>
          <w:i/>
          <w:iCs/>
        </w:rPr>
        <w:t>precedenza;</w:t>
      </w:r>
    </w:p>
    <w:p w14:paraId="06FA09D5" w14:textId="4A3CC147" w:rsidR="00FE5C44" w:rsidRPr="001100D5" w:rsidRDefault="256518F8" w:rsidP="005906E3">
      <w:pPr>
        <w:pStyle w:val="BodyText"/>
        <w:tabs>
          <w:tab w:val="left" w:pos="9072"/>
        </w:tabs>
        <w:spacing w:before="117"/>
        <w:jc w:val="both"/>
      </w:pPr>
      <w:r w:rsidRPr="001100D5">
        <w:rPr>
          <w:i/>
          <w:iCs/>
        </w:rPr>
        <w:t>• i progetti di rifacimento e/o di reingegnerizzazione totale o parziale di sistemi o applicazioni esistenti,</w:t>
      </w:r>
      <w:r w:rsidR="28319B01" w:rsidRPr="001100D5">
        <w:rPr>
          <w:i/>
          <w:iCs/>
        </w:rPr>
        <w:t xml:space="preserve"> </w:t>
      </w:r>
      <w:r w:rsidRPr="001100D5">
        <w:rPr>
          <w:i/>
          <w:iCs/>
        </w:rPr>
        <w:t>anche mediante attività di service ed API design e sviluppo sicuro e test-</w:t>
      </w:r>
      <w:proofErr w:type="spellStart"/>
      <w:r w:rsidRPr="001100D5">
        <w:rPr>
          <w:i/>
          <w:iCs/>
        </w:rPr>
        <w:t>driven</w:t>
      </w:r>
      <w:proofErr w:type="spellEnd"/>
      <w:r w:rsidRPr="001100D5">
        <w:rPr>
          <w:i/>
          <w:iCs/>
        </w:rPr>
        <w:t xml:space="preserve"> di API REST;</w:t>
      </w:r>
    </w:p>
    <w:p w14:paraId="5002D7B9" w14:textId="6015155C" w:rsidR="00FE5C44" w:rsidRPr="001100D5" w:rsidRDefault="256518F8" w:rsidP="005906E3">
      <w:pPr>
        <w:pStyle w:val="BodyText"/>
        <w:tabs>
          <w:tab w:val="left" w:pos="9072"/>
        </w:tabs>
        <w:spacing w:before="117"/>
        <w:jc w:val="both"/>
      </w:pPr>
      <w:r w:rsidRPr="001100D5">
        <w:rPr>
          <w:i/>
          <w:iCs/>
        </w:rPr>
        <w:t>• gli interventi di sviluppo e/o manutenzione evolutiva connessi ai progetti di configurazione e riuso d</w:t>
      </w:r>
      <w:r w:rsidR="3C06A1CB" w:rsidRPr="001100D5">
        <w:rPr>
          <w:i/>
          <w:iCs/>
        </w:rPr>
        <w:t xml:space="preserve">i </w:t>
      </w:r>
      <w:r w:rsidRPr="001100D5">
        <w:rPr>
          <w:i/>
          <w:iCs/>
        </w:rPr>
        <w:t>soluzioni software attivati nell’ambito del servizio di Configurazione e Personalizzazione di Soluzioni di</w:t>
      </w:r>
      <w:r w:rsidR="59783040" w:rsidRPr="001100D5">
        <w:rPr>
          <w:i/>
          <w:iCs/>
        </w:rPr>
        <w:t xml:space="preserve"> </w:t>
      </w:r>
      <w:r w:rsidRPr="001100D5">
        <w:rPr>
          <w:i/>
          <w:iCs/>
        </w:rPr>
        <w:t>terze parti/open source/riuso;</w:t>
      </w:r>
    </w:p>
    <w:p w14:paraId="458502C1" w14:textId="4304EB40" w:rsidR="00FE5C44" w:rsidRPr="001100D5" w:rsidRDefault="256518F8" w:rsidP="005906E3">
      <w:pPr>
        <w:pStyle w:val="BodyText"/>
        <w:tabs>
          <w:tab w:val="left" w:pos="9072"/>
        </w:tabs>
        <w:spacing w:before="117"/>
        <w:jc w:val="both"/>
      </w:pPr>
      <w:r w:rsidRPr="001100D5">
        <w:rPr>
          <w:i/>
          <w:iCs/>
        </w:rPr>
        <w:t>• gli adeguamenti normativi e/o organizzativi che hanno un impatto significativo sulle funzionalità</w:t>
      </w:r>
      <w:r w:rsidR="43F2CE38" w:rsidRPr="001100D5">
        <w:rPr>
          <w:i/>
          <w:iCs/>
        </w:rPr>
        <w:t xml:space="preserve"> </w:t>
      </w:r>
      <w:r w:rsidRPr="001100D5">
        <w:rPr>
          <w:i/>
          <w:iCs/>
        </w:rPr>
        <w:t>dell’utente, richiedendo la modifica della logica applicativa preesistente.</w:t>
      </w:r>
    </w:p>
    <w:p w14:paraId="655F0611" w14:textId="0E241A6E" w:rsidR="00FE5C44" w:rsidRPr="001100D5" w:rsidRDefault="256518F8" w:rsidP="005906E3">
      <w:pPr>
        <w:pStyle w:val="BodyText"/>
        <w:tabs>
          <w:tab w:val="left" w:pos="9072"/>
        </w:tabs>
        <w:spacing w:before="117"/>
        <w:jc w:val="both"/>
      </w:pPr>
      <w:r w:rsidRPr="001100D5">
        <w:rPr>
          <w:i/>
          <w:iCs/>
        </w:rPr>
        <w:t>Data di Attivazione del servizio: 1 Gennaio 2024</w:t>
      </w:r>
    </w:p>
    <w:p w14:paraId="47F8A760" w14:textId="023EADB9" w:rsidR="00FE5C44" w:rsidRPr="001100D5" w:rsidRDefault="256518F8" w:rsidP="005906E3">
      <w:pPr>
        <w:pStyle w:val="BodyText"/>
        <w:tabs>
          <w:tab w:val="left" w:pos="9072"/>
        </w:tabs>
        <w:spacing w:before="117"/>
        <w:jc w:val="both"/>
      </w:pPr>
      <w:r w:rsidRPr="001100D5">
        <w:rPr>
          <w:i/>
          <w:iCs/>
        </w:rPr>
        <w:t>Vincoli temporali: Nessuno</w:t>
      </w:r>
    </w:p>
    <w:p w14:paraId="73B642D8" w14:textId="2411F83E" w:rsidR="00FE5C44" w:rsidRPr="001100D5" w:rsidRDefault="256518F8" w:rsidP="005906E3">
      <w:pPr>
        <w:pStyle w:val="BodyText"/>
        <w:tabs>
          <w:tab w:val="left" w:pos="9072"/>
        </w:tabs>
        <w:spacing w:before="117"/>
        <w:jc w:val="both"/>
      </w:pPr>
      <w:r w:rsidRPr="001100D5">
        <w:rPr>
          <w:i/>
          <w:iCs/>
        </w:rPr>
        <w:t>Modalità di Erogazione e</w:t>
      </w:r>
      <w:r w:rsidR="371930B3" w:rsidRPr="001100D5">
        <w:rPr>
          <w:i/>
          <w:iCs/>
        </w:rPr>
        <w:t xml:space="preserve"> </w:t>
      </w:r>
      <w:r w:rsidRPr="001100D5">
        <w:rPr>
          <w:i/>
          <w:iCs/>
        </w:rPr>
        <w:t>consuntivazione: A Corpo</w:t>
      </w:r>
    </w:p>
    <w:p w14:paraId="5BBF16A4" w14:textId="25E5352A" w:rsidR="00FE5C44" w:rsidRPr="001100D5" w:rsidRDefault="256518F8" w:rsidP="005906E3">
      <w:pPr>
        <w:pStyle w:val="BodyText"/>
        <w:tabs>
          <w:tab w:val="left" w:pos="9072"/>
        </w:tabs>
        <w:spacing w:before="117"/>
        <w:jc w:val="both"/>
      </w:pPr>
      <w:r w:rsidRPr="001100D5">
        <w:rPr>
          <w:i/>
          <w:iCs/>
        </w:rPr>
        <w:t>Metrica di Misurazione: Team Ottimale</w:t>
      </w:r>
    </w:p>
    <w:p w14:paraId="05183F77" w14:textId="614B8BAF" w:rsidR="21EC19F1" w:rsidRPr="001100D5" w:rsidRDefault="21EC19F1" w:rsidP="21EC19F1">
      <w:pPr>
        <w:pStyle w:val="BodyText"/>
        <w:tabs>
          <w:tab w:val="left" w:pos="9072"/>
        </w:tabs>
        <w:spacing w:before="117"/>
        <w:jc w:val="both"/>
        <w:rPr>
          <w:i/>
          <w:iCs/>
        </w:rPr>
      </w:pPr>
    </w:p>
    <w:p w14:paraId="38BB199C" w14:textId="68A35EA4" w:rsidR="00F40F4E" w:rsidRPr="000C68D0" w:rsidRDefault="66195BC2" w:rsidP="21EC19F1">
      <w:pPr>
        <w:pStyle w:val="Heading3"/>
        <w:spacing w:line="259" w:lineRule="auto"/>
        <w:jc w:val="both"/>
        <w:rPr>
          <w:rFonts w:ascii="Times New Roman" w:eastAsia="Times New Roman" w:hAnsi="Times New Roman" w:cs="Times New Roman"/>
          <w:color w:val="auto"/>
        </w:rPr>
      </w:pPr>
      <w:bookmarkStart w:id="6" w:name="_Toc177384161"/>
      <w:r w:rsidRPr="000C68D0">
        <w:rPr>
          <w:rFonts w:ascii="Times New Roman" w:eastAsia="Times New Roman" w:hAnsi="Times New Roman" w:cs="Times New Roman"/>
          <w:color w:val="auto"/>
        </w:rPr>
        <w:lastRenderedPageBreak/>
        <w:t>MANUTENZIONE CORRETTIVA SUL SOFTWARE AD HOC “PREGRESSO E NON IN GARANZIA” (MAC)</w:t>
      </w:r>
      <w:bookmarkEnd w:id="6"/>
      <w:r w:rsidRPr="000C68D0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2D1493BC" w14:textId="27B35940" w:rsidR="0CA94D6C" w:rsidRPr="001100D5" w:rsidRDefault="0CA94D6C" w:rsidP="21EC19F1">
      <w:pPr>
        <w:pStyle w:val="BodyText"/>
        <w:spacing w:before="117" w:line="259" w:lineRule="auto"/>
        <w:jc w:val="both"/>
        <w:rPr>
          <w:i/>
          <w:iCs/>
        </w:rPr>
      </w:pPr>
      <w:r w:rsidRPr="001100D5">
        <w:rPr>
          <w:i/>
          <w:iCs/>
        </w:rPr>
        <w:t xml:space="preserve"> Il servizio viene innescato da una segnalazione di impedimento all’uso dell’applicazione di una o più delle sue funzioni o servizi, che si tratti di una malfunzione vera e propria o degli effetti che tale malfunzione ha causato. I malfunzionamenti, le cui cause non sono imputabili a difetti presenti nel software applicativo, ma ad errori tecnici, operativi o d’integrazione con altri sistemi (ad esempio indisponibilità di servizi terzi integrati, uso improprio delle funzioni, ecc.), oppure relativi a software in garanzia (del fornitore uscente), comportano, da</w:t>
      </w:r>
      <w:r w:rsidR="06C6E92A" w:rsidRPr="001100D5">
        <w:rPr>
          <w:i/>
          <w:iCs/>
        </w:rPr>
        <w:t xml:space="preserve"> parte del servizio di manutenzione correttiva il supporto all’attività diagnostica sulla causa del malfunzionamento e sistemistico per la risoluzione del problema a fronte della segnalazione pervenuta, ma sono poi risolti da altre strutture di competenza. Nel caso di malfunzioni su punti di interfaccia verso l’esterno, il fornitore deve provvedere alla validazione tecnica e controllo dei risultati del contenuto dei flussi informativi destinati a strutture esterne o dei dati esposti negli elaborati del sistema.</w:t>
      </w:r>
    </w:p>
    <w:p w14:paraId="0269FD8B" w14:textId="00408C0D" w:rsidR="21EC19F1" w:rsidRPr="001100D5" w:rsidRDefault="21EC19F1" w:rsidP="21EC19F1">
      <w:pPr>
        <w:pStyle w:val="BodyText"/>
        <w:spacing w:before="117" w:line="259" w:lineRule="auto"/>
        <w:jc w:val="both"/>
        <w:rPr>
          <w:i/>
          <w:iCs/>
        </w:rPr>
      </w:pPr>
    </w:p>
    <w:p w14:paraId="6B8D2DE5" w14:textId="470C6D1E" w:rsidR="06C6E92A" w:rsidRPr="001100D5" w:rsidRDefault="06C6E92A" w:rsidP="21EC19F1">
      <w:pPr>
        <w:pStyle w:val="BodyText"/>
        <w:spacing w:before="117" w:line="259" w:lineRule="auto"/>
        <w:jc w:val="both"/>
        <w:rPr>
          <w:i/>
          <w:iCs/>
        </w:rPr>
      </w:pPr>
      <w:r w:rsidRPr="001100D5">
        <w:rPr>
          <w:i/>
          <w:iCs/>
        </w:rPr>
        <w:t>Data di Attivazione del servizio: 1 Gennaio 2024</w:t>
      </w:r>
    </w:p>
    <w:p w14:paraId="76A87762" w14:textId="3F638EAE" w:rsidR="06C6E92A" w:rsidRPr="001100D5" w:rsidRDefault="06C6E92A" w:rsidP="21EC19F1">
      <w:pPr>
        <w:pStyle w:val="BodyText"/>
        <w:spacing w:before="117" w:line="259" w:lineRule="auto"/>
        <w:jc w:val="both"/>
        <w:rPr>
          <w:i/>
          <w:iCs/>
        </w:rPr>
      </w:pPr>
      <w:r w:rsidRPr="001100D5">
        <w:rPr>
          <w:i/>
          <w:iCs/>
        </w:rPr>
        <w:t>Vincoli temporali: Nessuno</w:t>
      </w:r>
    </w:p>
    <w:p w14:paraId="0508B293" w14:textId="40451F2B" w:rsidR="06C6E92A" w:rsidRPr="001100D5" w:rsidRDefault="06C6E92A" w:rsidP="21EC19F1">
      <w:pPr>
        <w:pStyle w:val="BodyText"/>
        <w:spacing w:before="117" w:line="259" w:lineRule="auto"/>
        <w:jc w:val="both"/>
        <w:rPr>
          <w:i/>
          <w:iCs/>
        </w:rPr>
      </w:pPr>
      <w:r w:rsidRPr="001100D5">
        <w:rPr>
          <w:i/>
          <w:iCs/>
        </w:rPr>
        <w:t>Modalità di Erogazione e consuntivazione (*): A Consumo</w:t>
      </w:r>
    </w:p>
    <w:p w14:paraId="1F2175A9" w14:textId="4D17B993" w:rsidR="06C6E92A" w:rsidRPr="001100D5" w:rsidRDefault="06C6E92A" w:rsidP="21EC19F1">
      <w:pPr>
        <w:pStyle w:val="BodyText"/>
        <w:spacing w:before="117" w:line="259" w:lineRule="auto"/>
        <w:jc w:val="both"/>
        <w:rPr>
          <w:i/>
          <w:iCs/>
        </w:rPr>
      </w:pPr>
      <w:r w:rsidRPr="001100D5">
        <w:rPr>
          <w:i/>
          <w:iCs/>
        </w:rPr>
        <w:t>Metrica di Misurazione (*): Team Ottimale</w:t>
      </w:r>
    </w:p>
    <w:p w14:paraId="47179226" w14:textId="77777777" w:rsidR="001732E2" w:rsidRPr="001100D5" w:rsidRDefault="001732E2" w:rsidP="005906E3">
      <w:pPr>
        <w:jc w:val="both"/>
        <w:rPr>
          <w:i/>
          <w:iCs/>
          <w:sz w:val="24"/>
          <w:szCs w:val="24"/>
        </w:rPr>
      </w:pPr>
    </w:p>
    <w:p w14:paraId="2CF966E2" w14:textId="424E0CC7" w:rsidR="038C816B" w:rsidRPr="000C68D0" w:rsidRDefault="038C816B" w:rsidP="21EC19F1">
      <w:pPr>
        <w:pStyle w:val="Heading3"/>
        <w:spacing w:line="259" w:lineRule="auto"/>
        <w:jc w:val="both"/>
        <w:rPr>
          <w:rFonts w:ascii="Times New Roman" w:eastAsia="Times New Roman" w:hAnsi="Times New Roman" w:cs="Times New Roman"/>
          <w:color w:val="auto"/>
        </w:rPr>
      </w:pPr>
      <w:bookmarkStart w:id="7" w:name="_Toc177384162"/>
      <w:r w:rsidRPr="000C68D0">
        <w:rPr>
          <w:rFonts w:ascii="Times New Roman" w:eastAsia="Times New Roman" w:hAnsi="Times New Roman" w:cs="Times New Roman"/>
          <w:color w:val="auto"/>
        </w:rPr>
        <w:t>SUPPORTO TECNICO-SPECIALISTICO ICT (SS)</w:t>
      </w:r>
      <w:bookmarkEnd w:id="7"/>
      <w:r w:rsidRPr="000C68D0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1385E7C9" w14:textId="7B9C87DB" w:rsidR="21EC19F1" w:rsidRPr="001100D5" w:rsidRDefault="21EC19F1" w:rsidP="21EC19F1">
      <w:pPr>
        <w:jc w:val="both"/>
        <w:rPr>
          <w:rFonts w:asciiTheme="minorHAnsi" w:eastAsiaTheme="minorEastAsia" w:hAnsiTheme="minorHAnsi" w:cstheme="minorBidi"/>
          <w:i/>
          <w:iCs/>
          <w:sz w:val="24"/>
          <w:szCs w:val="24"/>
        </w:rPr>
      </w:pPr>
    </w:p>
    <w:p w14:paraId="22D33ED5" w14:textId="311E0275" w:rsidR="038C816B" w:rsidRPr="001100D5" w:rsidRDefault="038C816B" w:rsidP="21EC19F1">
      <w:pPr>
        <w:rPr>
          <w:i/>
          <w:iCs/>
        </w:rPr>
      </w:pPr>
      <w:r w:rsidRPr="001100D5">
        <w:rPr>
          <w:rFonts w:asciiTheme="minorHAnsi" w:eastAsiaTheme="minorEastAsia" w:hAnsiTheme="minorHAnsi" w:cstheme="minorBidi"/>
          <w:i/>
          <w:iCs/>
          <w:sz w:val="24"/>
          <w:szCs w:val="24"/>
        </w:rPr>
        <w:t>Il servizio comprende attività di supporto in ambito ICT all’Amministrazione con la finalità di:</w:t>
      </w:r>
    </w:p>
    <w:p w14:paraId="58946F63" w14:textId="6AAAE25E" w:rsidR="038C816B" w:rsidRPr="001100D5" w:rsidRDefault="038C816B" w:rsidP="21EC19F1">
      <w:pPr>
        <w:rPr>
          <w:i/>
          <w:iCs/>
        </w:rPr>
      </w:pPr>
      <w:r w:rsidRPr="001100D5">
        <w:rPr>
          <w:rFonts w:asciiTheme="minorHAnsi" w:eastAsiaTheme="minorEastAsia" w:hAnsiTheme="minorHAnsi" w:cstheme="minorBidi"/>
          <w:i/>
          <w:iCs/>
          <w:sz w:val="24"/>
          <w:szCs w:val="24"/>
        </w:rPr>
        <w:t>• assicurare risposte altamente specialistiche per indirizzare le scelte tecnologiche e di prodotto, comprendere trend tecnologici e opportunità di ottimizzazione dell’infrastruttura applicativa e introduzione/aggiornamento di strumenti a supporto delle attività ICT per incrementare affidabilità e agilità, valutare il grado di digitalizzazione, di interoperabilità, di sicurezza applicativa, di aderenza a standard e linee guida e proporre piani di azione trasversale ai progetti e ai servizi su obiettivi di innovazione e standardizzazione;</w:t>
      </w:r>
    </w:p>
    <w:p w14:paraId="1838F2FE" w14:textId="0693B7BA" w:rsidR="038C816B" w:rsidRPr="001100D5" w:rsidRDefault="038C816B" w:rsidP="21EC19F1">
      <w:pPr>
        <w:rPr>
          <w:i/>
          <w:iCs/>
        </w:rPr>
      </w:pPr>
      <w:r w:rsidRPr="001100D5">
        <w:rPr>
          <w:rFonts w:asciiTheme="minorHAnsi" w:eastAsiaTheme="minorEastAsia" w:hAnsiTheme="minorHAnsi" w:cstheme="minorBidi"/>
          <w:i/>
          <w:iCs/>
          <w:sz w:val="24"/>
          <w:szCs w:val="24"/>
        </w:rPr>
        <w:t>• garantire i livelli di qualità della fornitura e governare l’esecuzione delle attività del ciclo di vita di una fornitura software, affinché i prodotti realizzati e i processi svolti siano conformi ai requisiti richiesti e ai livelli di servizio previsti (cfr. appendice Indicatori di qualità), nel rispetto dei piani di lavoro e congrui in termini di dimensionamento.</w:t>
      </w:r>
    </w:p>
    <w:p w14:paraId="44AD98B6" w14:textId="0D27692E" w:rsidR="21EC19F1" w:rsidRPr="001100D5" w:rsidRDefault="21EC19F1" w:rsidP="21EC19F1">
      <w:pPr>
        <w:pStyle w:val="BodyText"/>
        <w:spacing w:before="117" w:line="259" w:lineRule="auto"/>
        <w:jc w:val="both"/>
        <w:rPr>
          <w:i/>
          <w:iCs/>
        </w:rPr>
      </w:pPr>
    </w:p>
    <w:p w14:paraId="1674AFBB" w14:textId="7DC7E1E7" w:rsidR="038C816B" w:rsidRPr="001100D5" w:rsidRDefault="038C816B" w:rsidP="21EC19F1">
      <w:pPr>
        <w:pStyle w:val="BodyText"/>
        <w:spacing w:before="117" w:line="259" w:lineRule="auto"/>
        <w:jc w:val="both"/>
        <w:rPr>
          <w:i/>
          <w:iCs/>
        </w:rPr>
      </w:pPr>
      <w:r w:rsidRPr="001100D5">
        <w:rPr>
          <w:i/>
          <w:iCs/>
        </w:rPr>
        <w:t>Data di Attivazione del servizio: 1 Gennaio 2024</w:t>
      </w:r>
    </w:p>
    <w:p w14:paraId="66D76D52" w14:textId="2064880B" w:rsidR="038C816B" w:rsidRPr="001100D5" w:rsidRDefault="038C816B" w:rsidP="21EC19F1">
      <w:pPr>
        <w:pStyle w:val="BodyText"/>
        <w:spacing w:before="117" w:line="259" w:lineRule="auto"/>
        <w:jc w:val="both"/>
        <w:rPr>
          <w:i/>
          <w:iCs/>
        </w:rPr>
      </w:pPr>
      <w:r w:rsidRPr="001100D5">
        <w:rPr>
          <w:i/>
          <w:iCs/>
        </w:rPr>
        <w:t>Vincoli temporali: Nessuno</w:t>
      </w:r>
    </w:p>
    <w:p w14:paraId="5B185BEA" w14:textId="39F8BE8C" w:rsidR="038C816B" w:rsidRPr="001100D5" w:rsidRDefault="038C816B" w:rsidP="21EC19F1">
      <w:pPr>
        <w:pStyle w:val="BodyText"/>
        <w:spacing w:before="117" w:line="259" w:lineRule="auto"/>
        <w:jc w:val="both"/>
        <w:rPr>
          <w:i/>
          <w:iCs/>
        </w:rPr>
      </w:pPr>
      <w:r w:rsidRPr="001100D5">
        <w:rPr>
          <w:i/>
          <w:iCs/>
        </w:rPr>
        <w:t>Modalità di Erogazione e</w:t>
      </w:r>
    </w:p>
    <w:p w14:paraId="14997B5D" w14:textId="05B6B663" w:rsidR="038C816B" w:rsidRPr="001100D5" w:rsidRDefault="038C816B" w:rsidP="21EC19F1">
      <w:pPr>
        <w:pStyle w:val="BodyText"/>
        <w:spacing w:before="117" w:line="259" w:lineRule="auto"/>
        <w:jc w:val="both"/>
        <w:rPr>
          <w:i/>
          <w:iCs/>
        </w:rPr>
      </w:pPr>
      <w:r w:rsidRPr="001100D5">
        <w:rPr>
          <w:i/>
          <w:iCs/>
        </w:rPr>
        <w:t>consuntivazione:</w:t>
      </w:r>
    </w:p>
    <w:p w14:paraId="71B63D67" w14:textId="38C83587" w:rsidR="038C816B" w:rsidRPr="001100D5" w:rsidRDefault="038C816B" w:rsidP="21EC19F1">
      <w:pPr>
        <w:pStyle w:val="BodyText"/>
        <w:spacing w:before="117" w:line="259" w:lineRule="auto"/>
        <w:jc w:val="both"/>
        <w:rPr>
          <w:i/>
          <w:iCs/>
        </w:rPr>
      </w:pPr>
      <w:r w:rsidRPr="001100D5">
        <w:rPr>
          <w:i/>
          <w:iCs/>
        </w:rPr>
        <w:t>A Consumo</w:t>
      </w:r>
    </w:p>
    <w:p w14:paraId="5783F0DB" w14:textId="2AAF6A03" w:rsidR="038C816B" w:rsidRPr="001100D5" w:rsidRDefault="038C816B" w:rsidP="21EC19F1">
      <w:pPr>
        <w:pStyle w:val="BodyText"/>
        <w:spacing w:before="117" w:line="259" w:lineRule="auto"/>
        <w:jc w:val="both"/>
        <w:rPr>
          <w:i/>
          <w:iCs/>
        </w:rPr>
      </w:pPr>
      <w:r w:rsidRPr="001100D5">
        <w:rPr>
          <w:i/>
          <w:iCs/>
        </w:rPr>
        <w:t>Metrica di Misurazione: Team Ottimale</w:t>
      </w:r>
    </w:p>
    <w:p w14:paraId="609395E5" w14:textId="630D43A6" w:rsidR="21EC19F1" w:rsidRPr="001100D5" w:rsidRDefault="21EC19F1" w:rsidP="21EC19F1"/>
    <w:p w14:paraId="0A08971C" w14:textId="77777777" w:rsidR="001100D5" w:rsidRPr="001100D5" w:rsidRDefault="001100D5" w:rsidP="21EC19F1"/>
    <w:p w14:paraId="529D5C31" w14:textId="77777777" w:rsidR="001100D5" w:rsidRPr="001100D5" w:rsidRDefault="001100D5" w:rsidP="21EC19F1"/>
    <w:p w14:paraId="2D60A6EA" w14:textId="10409743" w:rsidR="00D64BCE" w:rsidRPr="000C68D0" w:rsidRDefault="00D64BCE" w:rsidP="21EC19F1">
      <w:pPr>
        <w:pStyle w:val="Heading3"/>
        <w:spacing w:line="259" w:lineRule="auto"/>
        <w:jc w:val="both"/>
        <w:rPr>
          <w:rFonts w:ascii="Times New Roman" w:eastAsia="Times New Roman" w:hAnsi="Times New Roman" w:cs="Times New Roman"/>
          <w:color w:val="auto"/>
        </w:rPr>
      </w:pPr>
      <w:bookmarkStart w:id="8" w:name="_Toc177384163"/>
      <w:r w:rsidRPr="000C68D0">
        <w:rPr>
          <w:rFonts w:ascii="Times New Roman" w:eastAsia="Times New Roman" w:hAnsi="Times New Roman" w:cs="Times New Roman"/>
          <w:color w:val="auto"/>
        </w:rPr>
        <w:lastRenderedPageBreak/>
        <w:t>GESTIONE DEL PORTAFOGLIO APPLICATIVO (GA)</w:t>
      </w:r>
      <w:bookmarkEnd w:id="8"/>
      <w:r w:rsidRPr="000C68D0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15812A0C" w14:textId="68D90EA0" w:rsidR="21EC19F1" w:rsidRPr="001100D5" w:rsidRDefault="21EC19F1" w:rsidP="21EC19F1">
      <w:pPr>
        <w:spacing w:line="259" w:lineRule="auto"/>
        <w:rPr>
          <w:rFonts w:asciiTheme="minorHAnsi" w:eastAsiaTheme="minorEastAsia" w:hAnsiTheme="minorHAnsi" w:cstheme="minorBidi"/>
          <w:i/>
          <w:iCs/>
          <w:sz w:val="24"/>
          <w:szCs w:val="24"/>
        </w:rPr>
      </w:pPr>
    </w:p>
    <w:p w14:paraId="2668E1EA" w14:textId="618EEAFF" w:rsidR="2183D935" w:rsidRPr="001100D5" w:rsidRDefault="2183D935" w:rsidP="21EC19F1">
      <w:pPr>
        <w:spacing w:line="259" w:lineRule="auto"/>
        <w:rPr>
          <w:rFonts w:asciiTheme="minorHAnsi" w:eastAsiaTheme="minorEastAsia" w:hAnsiTheme="minorHAnsi" w:cstheme="minorBidi"/>
          <w:i/>
          <w:iCs/>
          <w:sz w:val="24"/>
          <w:szCs w:val="24"/>
        </w:rPr>
      </w:pPr>
      <w:r w:rsidRPr="001100D5">
        <w:rPr>
          <w:rFonts w:asciiTheme="minorHAnsi" w:eastAsiaTheme="minorEastAsia" w:hAnsiTheme="minorHAnsi" w:cstheme="minorBidi"/>
          <w:i/>
          <w:iCs/>
          <w:sz w:val="24"/>
          <w:szCs w:val="24"/>
        </w:rPr>
        <w:t>Il servizio di Gestione del Portafoglio comprende le attività di gestione delle applicazioni e dei servizi applicativi</w:t>
      </w:r>
      <w:r w:rsidR="7AF3E78B" w:rsidRPr="001100D5">
        <w:rPr>
          <w:rFonts w:asciiTheme="minorHAnsi" w:eastAsiaTheme="minorEastAsia" w:hAnsiTheme="minorHAnsi" w:cstheme="minorBidi"/>
          <w:i/>
          <w:iCs/>
          <w:sz w:val="24"/>
          <w:szCs w:val="24"/>
        </w:rPr>
        <w:t xml:space="preserve"> </w:t>
      </w:r>
      <w:r w:rsidRPr="001100D5">
        <w:rPr>
          <w:rFonts w:asciiTheme="minorHAnsi" w:eastAsiaTheme="minorEastAsia" w:hAnsiTheme="minorHAnsi" w:cstheme="minorBidi"/>
          <w:i/>
          <w:iCs/>
          <w:sz w:val="24"/>
          <w:szCs w:val="24"/>
        </w:rPr>
        <w:t>in esercizio. Per le esigenze dell’Amministrazione il servizio deve essere configurato con i seguenti contenuti:</w:t>
      </w:r>
    </w:p>
    <w:p w14:paraId="0F609503" w14:textId="66B66307" w:rsidR="2183D935" w:rsidRPr="001100D5" w:rsidRDefault="2183D935" w:rsidP="21EC19F1">
      <w:pPr>
        <w:spacing w:line="259" w:lineRule="auto"/>
        <w:rPr>
          <w:rFonts w:asciiTheme="minorHAnsi" w:eastAsiaTheme="minorEastAsia" w:hAnsiTheme="minorHAnsi" w:cstheme="minorBidi"/>
          <w:i/>
          <w:iCs/>
          <w:sz w:val="24"/>
          <w:szCs w:val="24"/>
        </w:rPr>
      </w:pPr>
      <w:r w:rsidRPr="001100D5">
        <w:rPr>
          <w:rFonts w:asciiTheme="minorHAnsi" w:eastAsiaTheme="minorEastAsia" w:hAnsiTheme="minorHAnsi" w:cstheme="minorBidi"/>
          <w:i/>
          <w:iCs/>
          <w:sz w:val="24"/>
          <w:szCs w:val="24"/>
        </w:rPr>
        <w:t>• Gestione applicativi e basi dati</w:t>
      </w:r>
    </w:p>
    <w:p w14:paraId="6BDC65D5" w14:textId="2E46A372" w:rsidR="2183D935" w:rsidRPr="001100D5" w:rsidRDefault="2183D935" w:rsidP="21EC19F1">
      <w:pPr>
        <w:spacing w:line="259" w:lineRule="auto"/>
        <w:rPr>
          <w:rFonts w:asciiTheme="minorHAnsi" w:eastAsiaTheme="minorEastAsia" w:hAnsiTheme="minorHAnsi" w:cstheme="minorBidi"/>
          <w:i/>
          <w:iCs/>
          <w:sz w:val="24"/>
          <w:szCs w:val="24"/>
        </w:rPr>
      </w:pPr>
      <w:r w:rsidRPr="001100D5">
        <w:rPr>
          <w:rFonts w:asciiTheme="minorHAnsi" w:eastAsiaTheme="minorEastAsia" w:hAnsiTheme="minorHAnsi" w:cstheme="minorBidi"/>
          <w:i/>
          <w:iCs/>
          <w:sz w:val="24"/>
          <w:szCs w:val="24"/>
        </w:rPr>
        <w:t>• Gestione del Front-End Digitale, Publishing e contenuti di Siti Web</w:t>
      </w:r>
    </w:p>
    <w:p w14:paraId="762347D8" w14:textId="224D0573" w:rsidR="2183D935" w:rsidRPr="001100D5" w:rsidRDefault="2183D935" w:rsidP="21EC19F1">
      <w:pPr>
        <w:spacing w:line="259" w:lineRule="auto"/>
        <w:rPr>
          <w:rFonts w:asciiTheme="minorHAnsi" w:eastAsiaTheme="minorEastAsia" w:hAnsiTheme="minorHAnsi" w:cstheme="minorBidi"/>
          <w:i/>
          <w:iCs/>
          <w:sz w:val="24"/>
          <w:szCs w:val="24"/>
        </w:rPr>
      </w:pPr>
      <w:r w:rsidRPr="001100D5">
        <w:rPr>
          <w:rFonts w:asciiTheme="minorHAnsi" w:eastAsiaTheme="minorEastAsia" w:hAnsiTheme="minorHAnsi" w:cstheme="minorBidi"/>
          <w:i/>
          <w:iCs/>
          <w:sz w:val="24"/>
          <w:szCs w:val="24"/>
        </w:rPr>
        <w:t>• Gestione trasversale del Portafoglio Applicativo (configurazione di entrambi i precedenti servizi in</w:t>
      </w:r>
      <w:r w:rsidR="13E827EF" w:rsidRPr="001100D5">
        <w:rPr>
          <w:rFonts w:asciiTheme="minorHAnsi" w:eastAsiaTheme="minorEastAsia" w:hAnsiTheme="minorHAnsi" w:cstheme="minorBidi"/>
          <w:i/>
          <w:iCs/>
          <w:sz w:val="24"/>
          <w:szCs w:val="24"/>
        </w:rPr>
        <w:t xml:space="preserve"> </w:t>
      </w:r>
      <w:r w:rsidRPr="001100D5">
        <w:rPr>
          <w:rFonts w:asciiTheme="minorHAnsi" w:eastAsiaTheme="minorEastAsia" w:hAnsiTheme="minorHAnsi" w:cstheme="minorBidi"/>
          <w:i/>
          <w:iCs/>
          <w:sz w:val="24"/>
          <w:szCs w:val="24"/>
        </w:rPr>
        <w:t>modo unitario)</w:t>
      </w:r>
    </w:p>
    <w:p w14:paraId="60C9E848" w14:textId="1FD625C4" w:rsidR="21EC19F1" w:rsidRPr="001100D5" w:rsidRDefault="21EC19F1" w:rsidP="21EC19F1">
      <w:pPr>
        <w:spacing w:line="259" w:lineRule="auto"/>
        <w:rPr>
          <w:rFonts w:asciiTheme="minorHAnsi" w:eastAsiaTheme="minorEastAsia" w:hAnsiTheme="minorHAnsi" w:cstheme="minorBidi"/>
          <w:i/>
          <w:iCs/>
          <w:sz w:val="24"/>
          <w:szCs w:val="24"/>
        </w:rPr>
      </w:pPr>
    </w:p>
    <w:p w14:paraId="5D0BB179" w14:textId="015F3CC2" w:rsidR="00FE4683" w:rsidRPr="001100D5" w:rsidRDefault="2183D935" w:rsidP="21EC19F1">
      <w:pPr>
        <w:spacing w:line="259" w:lineRule="auto"/>
        <w:rPr>
          <w:rFonts w:asciiTheme="minorHAnsi" w:eastAsiaTheme="minorEastAsia" w:hAnsiTheme="minorHAnsi" w:cstheme="minorBidi"/>
          <w:i/>
          <w:iCs/>
          <w:sz w:val="24"/>
          <w:szCs w:val="24"/>
        </w:rPr>
      </w:pPr>
      <w:r w:rsidRPr="001100D5">
        <w:rPr>
          <w:rFonts w:asciiTheme="minorHAnsi" w:eastAsiaTheme="minorEastAsia" w:hAnsiTheme="minorHAnsi" w:cstheme="minorBidi"/>
          <w:i/>
          <w:iCs/>
          <w:sz w:val="24"/>
          <w:szCs w:val="24"/>
        </w:rPr>
        <w:t>Per l’erogazione di questo servizio l’Amministrazione scegli la modalità del “Livello Premium” le cui</w:t>
      </w:r>
      <w:r w:rsidR="137E5C95" w:rsidRPr="001100D5">
        <w:rPr>
          <w:rFonts w:asciiTheme="minorHAnsi" w:eastAsiaTheme="minorEastAsia" w:hAnsiTheme="minorHAnsi" w:cstheme="minorBidi"/>
          <w:i/>
          <w:iCs/>
          <w:sz w:val="24"/>
          <w:szCs w:val="24"/>
        </w:rPr>
        <w:t xml:space="preserve"> </w:t>
      </w:r>
      <w:r w:rsidRPr="001100D5">
        <w:rPr>
          <w:rFonts w:asciiTheme="minorHAnsi" w:eastAsiaTheme="minorEastAsia" w:hAnsiTheme="minorHAnsi" w:cstheme="minorBidi"/>
          <w:i/>
          <w:iCs/>
          <w:sz w:val="24"/>
          <w:szCs w:val="24"/>
        </w:rPr>
        <w:t>caratteristiche sono indicate nell’Appendice 2 al CAPITOLATO TECNICO SPECIALE DEL LOTTO 1 – INDICATORI DI</w:t>
      </w:r>
      <w:r w:rsidR="2B6B3BE7" w:rsidRPr="001100D5">
        <w:rPr>
          <w:rFonts w:asciiTheme="minorHAnsi" w:eastAsiaTheme="minorEastAsia" w:hAnsiTheme="minorHAnsi" w:cstheme="minorBidi"/>
          <w:i/>
          <w:iCs/>
          <w:sz w:val="24"/>
          <w:szCs w:val="24"/>
        </w:rPr>
        <w:t xml:space="preserve"> </w:t>
      </w:r>
      <w:r w:rsidRPr="001100D5">
        <w:rPr>
          <w:rFonts w:asciiTheme="minorHAnsi" w:eastAsiaTheme="minorEastAsia" w:hAnsiTheme="minorHAnsi" w:cstheme="minorBidi"/>
          <w:i/>
          <w:iCs/>
          <w:sz w:val="24"/>
          <w:szCs w:val="24"/>
        </w:rPr>
        <w:t>QUALITÀ.</w:t>
      </w:r>
    </w:p>
    <w:p w14:paraId="30E413AA" w14:textId="5902853E" w:rsidR="00FE4683" w:rsidRPr="001100D5" w:rsidRDefault="00FE4683" w:rsidP="21EC19F1">
      <w:pPr>
        <w:pStyle w:val="BodyText"/>
        <w:spacing w:before="117" w:line="259" w:lineRule="auto"/>
        <w:jc w:val="both"/>
        <w:rPr>
          <w:i/>
          <w:iCs/>
        </w:rPr>
      </w:pPr>
    </w:p>
    <w:p w14:paraId="393C16F6" w14:textId="4E20A8C9" w:rsidR="00FE4683" w:rsidRPr="001100D5" w:rsidRDefault="2183D935" w:rsidP="21EC19F1">
      <w:pPr>
        <w:pStyle w:val="BodyText"/>
        <w:spacing w:before="117" w:line="259" w:lineRule="auto"/>
        <w:jc w:val="both"/>
        <w:rPr>
          <w:i/>
          <w:iCs/>
        </w:rPr>
      </w:pPr>
      <w:r w:rsidRPr="001100D5">
        <w:rPr>
          <w:i/>
          <w:iCs/>
        </w:rPr>
        <w:t>Data di Attivazione del servizio: 1 Gennaio 2024</w:t>
      </w:r>
    </w:p>
    <w:p w14:paraId="1864C706" w14:textId="28724FB7" w:rsidR="00FE4683" w:rsidRPr="001100D5" w:rsidRDefault="2183D935" w:rsidP="21EC19F1">
      <w:pPr>
        <w:pStyle w:val="BodyText"/>
        <w:spacing w:before="117" w:line="259" w:lineRule="auto"/>
        <w:jc w:val="both"/>
        <w:rPr>
          <w:i/>
          <w:iCs/>
        </w:rPr>
      </w:pPr>
      <w:r w:rsidRPr="001100D5">
        <w:rPr>
          <w:i/>
          <w:iCs/>
        </w:rPr>
        <w:t>Vincoli temporali: Nessuno</w:t>
      </w:r>
    </w:p>
    <w:p w14:paraId="127BD96D" w14:textId="297B4E03" w:rsidR="00FE4683" w:rsidRPr="001100D5" w:rsidRDefault="2183D935" w:rsidP="21EC19F1">
      <w:pPr>
        <w:pStyle w:val="BodyText"/>
        <w:spacing w:before="117" w:line="259" w:lineRule="auto"/>
        <w:jc w:val="both"/>
        <w:rPr>
          <w:i/>
          <w:iCs/>
        </w:rPr>
      </w:pPr>
      <w:r w:rsidRPr="001100D5">
        <w:rPr>
          <w:i/>
          <w:iCs/>
        </w:rPr>
        <w:t>Modalità di Erogazione e</w:t>
      </w:r>
    </w:p>
    <w:p w14:paraId="46E86E8B" w14:textId="4291175C" w:rsidR="00FE4683" w:rsidRPr="001100D5" w:rsidRDefault="2183D935" w:rsidP="21EC19F1">
      <w:pPr>
        <w:pStyle w:val="BodyText"/>
        <w:spacing w:before="117" w:line="259" w:lineRule="auto"/>
        <w:jc w:val="both"/>
        <w:rPr>
          <w:i/>
          <w:iCs/>
        </w:rPr>
      </w:pPr>
      <w:r w:rsidRPr="001100D5">
        <w:rPr>
          <w:i/>
          <w:iCs/>
        </w:rPr>
        <w:t>consuntivazione:</w:t>
      </w:r>
    </w:p>
    <w:p w14:paraId="7C6315B1" w14:textId="792D00C2" w:rsidR="00FE4683" w:rsidRPr="001100D5" w:rsidRDefault="2183D935" w:rsidP="21EC19F1">
      <w:pPr>
        <w:pStyle w:val="BodyText"/>
        <w:spacing w:before="117" w:line="259" w:lineRule="auto"/>
        <w:jc w:val="both"/>
        <w:rPr>
          <w:i/>
          <w:iCs/>
        </w:rPr>
      </w:pPr>
      <w:r w:rsidRPr="001100D5">
        <w:rPr>
          <w:i/>
          <w:iCs/>
        </w:rPr>
        <w:t>A Consumo</w:t>
      </w:r>
    </w:p>
    <w:p w14:paraId="4B843F31" w14:textId="7CF3D5D4" w:rsidR="00FE4683" w:rsidRPr="001100D5" w:rsidRDefault="2183D935" w:rsidP="21EC19F1">
      <w:pPr>
        <w:pStyle w:val="BodyText"/>
        <w:spacing w:before="117" w:line="259" w:lineRule="auto"/>
        <w:jc w:val="both"/>
        <w:rPr>
          <w:i/>
          <w:iCs/>
        </w:rPr>
      </w:pPr>
      <w:r w:rsidRPr="001100D5">
        <w:rPr>
          <w:i/>
          <w:iCs/>
        </w:rPr>
        <w:t>Metrica di Misurazione: Team Ottimale</w:t>
      </w:r>
    </w:p>
    <w:p w14:paraId="3ABE5FA8" w14:textId="77777777" w:rsidR="009E05E1" w:rsidRPr="001100D5" w:rsidRDefault="009E05E1" w:rsidP="21EC19F1">
      <w:pPr>
        <w:pStyle w:val="BodyText"/>
        <w:spacing w:before="117" w:line="259" w:lineRule="auto"/>
        <w:jc w:val="both"/>
        <w:rPr>
          <w:i/>
          <w:iCs/>
        </w:rPr>
      </w:pPr>
    </w:p>
    <w:p w14:paraId="54473CE0" w14:textId="3FE8B1DE" w:rsidR="00897775" w:rsidRDefault="002F7EE0" w:rsidP="000C68D0">
      <w:pPr>
        <w:pStyle w:val="Heading2"/>
      </w:pPr>
      <w:bookmarkStart w:id="9" w:name="_Toc177384164"/>
      <w:r w:rsidRPr="001100D5">
        <w:t>BREVE DESCRIZIONE DEI PRODOTTI/SERVIZI REALIZZATI E COLLAUDATI</w:t>
      </w:r>
      <w:bookmarkEnd w:id="9"/>
    </w:p>
    <w:p w14:paraId="17B1732F" w14:textId="77777777" w:rsidR="003940A7" w:rsidRPr="001100D5" w:rsidRDefault="003940A7" w:rsidP="003940A7">
      <w:pPr>
        <w:pStyle w:val="Heading2"/>
        <w:numPr>
          <w:ilvl w:val="0"/>
          <w:numId w:val="0"/>
        </w:numPr>
        <w:ind w:left="576"/>
      </w:pPr>
    </w:p>
    <w:p w14:paraId="195A7506" w14:textId="1173C028" w:rsidR="33641808" w:rsidRDefault="33641808" w:rsidP="38BAA267">
      <w:pPr>
        <w:pStyle w:val="Heading2"/>
        <w:numPr>
          <w:ilvl w:val="0"/>
          <w:numId w:val="0"/>
        </w:numPr>
        <w:rPr>
          <w:b w:val="0"/>
          <w:bCs w:val="0"/>
        </w:rPr>
      </w:pPr>
      <w:bookmarkStart w:id="10" w:name="_Toc177384165"/>
      <w:r>
        <w:rPr>
          <w:b w:val="0"/>
          <w:bCs w:val="0"/>
        </w:rPr>
        <w:t>Si riportano di seguito i PLO e le MEV collaudate da inizio contratto:</w:t>
      </w:r>
      <w:bookmarkEnd w:id="10"/>
    </w:p>
    <w:p w14:paraId="1C22EF36" w14:textId="77777777" w:rsidR="003940A7" w:rsidRDefault="003940A7" w:rsidP="38BAA267">
      <w:pPr>
        <w:pStyle w:val="Heading2"/>
        <w:numPr>
          <w:ilvl w:val="0"/>
          <w:numId w:val="0"/>
        </w:num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3030"/>
        <w:gridCol w:w="6165"/>
      </w:tblGrid>
      <w:tr w:rsidR="43026A82" w:rsidRPr="00303ED2" w14:paraId="20459FE2" w14:textId="77777777" w:rsidTr="2391148B">
        <w:trPr>
          <w:trHeight w:val="285"/>
        </w:trPr>
        <w:tc>
          <w:tcPr>
            <w:tcW w:w="30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495DEE9B" w14:textId="1D61E5DD" w:rsidR="43026A82" w:rsidRPr="00303ED2" w:rsidRDefault="43026A82" w:rsidP="43026A82">
            <w:pPr>
              <w:ind w:left="-20" w:right="-20"/>
              <w:rPr>
                <w:i/>
                <w:iCs/>
                <w:color w:val="000000" w:themeColor="text1"/>
              </w:rPr>
            </w:pPr>
            <w:r w:rsidRPr="00303ED2">
              <w:rPr>
                <w:b/>
                <w:bCs/>
                <w:i/>
                <w:iCs/>
                <w:color w:val="000000" w:themeColor="text1"/>
              </w:rPr>
              <w:t>PLO</w:t>
            </w:r>
          </w:p>
        </w:tc>
        <w:tc>
          <w:tcPr>
            <w:tcW w:w="61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5EA90A66" w14:textId="1340FBAF" w:rsidR="43026A82" w:rsidRPr="00303ED2" w:rsidRDefault="43026A82" w:rsidP="43026A82">
            <w:pPr>
              <w:ind w:left="-20" w:right="-20"/>
              <w:rPr>
                <w:i/>
                <w:iCs/>
                <w:color w:val="000000" w:themeColor="text1"/>
              </w:rPr>
            </w:pPr>
            <w:r w:rsidRPr="00303ED2">
              <w:rPr>
                <w:b/>
                <w:bCs/>
                <w:i/>
                <w:iCs/>
                <w:color w:val="000000" w:themeColor="text1"/>
              </w:rPr>
              <w:t>DETTAGLI</w:t>
            </w:r>
          </w:p>
        </w:tc>
      </w:tr>
      <w:tr w:rsidR="00303ED2" w:rsidRPr="00303ED2" w14:paraId="7DB2CDAC" w14:textId="77777777" w:rsidTr="00FB1271">
        <w:trPr>
          <w:trHeight w:val="285"/>
        </w:trPr>
        <w:tc>
          <w:tcPr>
            <w:tcW w:w="30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037B5909" w14:textId="63DD8EA8" w:rsidR="00303ED2" w:rsidRPr="00303ED2" w:rsidRDefault="00303ED2" w:rsidP="00303ED2">
            <w:pPr>
              <w:ind w:left="-20" w:right="-20"/>
              <w:rPr>
                <w:i/>
                <w:iCs/>
                <w:color w:val="000000" w:themeColor="text1"/>
              </w:rPr>
            </w:pPr>
            <w:r w:rsidRPr="00303ED2">
              <w:rPr>
                <w:i/>
                <w:iCs/>
                <w:color w:val="000000" w:themeColor="text1"/>
              </w:rPr>
              <w:t>SIAMM</w:t>
            </w:r>
          </w:p>
        </w:tc>
        <w:tc>
          <w:tcPr>
            <w:tcW w:w="61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</w:tcPr>
          <w:p w14:paraId="0BD22C73" w14:textId="792C93A8" w:rsidR="00303ED2" w:rsidRPr="00303ED2" w:rsidRDefault="00303ED2" w:rsidP="00303ED2">
            <w:pPr>
              <w:ind w:left="-20" w:right="-20"/>
              <w:rPr>
                <w:i/>
                <w:iCs/>
                <w:color w:val="000000" w:themeColor="text1"/>
                <w:highlight w:val="yellow"/>
              </w:rPr>
            </w:pPr>
            <w:r w:rsidRPr="00303ED2">
              <w:rPr>
                <w:i/>
                <w:iCs/>
              </w:rPr>
              <w:t>Procedimento e spese</w:t>
            </w:r>
          </w:p>
        </w:tc>
      </w:tr>
      <w:tr w:rsidR="00303ED2" w:rsidRPr="00303ED2" w14:paraId="0933C106" w14:textId="77777777" w:rsidTr="00230D85">
        <w:trPr>
          <w:trHeight w:val="285"/>
        </w:trPr>
        <w:tc>
          <w:tcPr>
            <w:tcW w:w="30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2460AEDC" w14:textId="77777777" w:rsidR="00303ED2" w:rsidRPr="00303ED2" w:rsidRDefault="00303ED2" w:rsidP="00230D85">
            <w:pPr>
              <w:rPr>
                <w:i/>
                <w:iCs/>
                <w:color w:val="000000" w:themeColor="text1"/>
              </w:rPr>
            </w:pPr>
            <w:r w:rsidRPr="00303ED2">
              <w:rPr>
                <w:i/>
                <w:iCs/>
                <w:color w:val="000000" w:themeColor="text1"/>
              </w:rPr>
              <w:t>SIAMM</w:t>
            </w:r>
          </w:p>
        </w:tc>
        <w:tc>
          <w:tcPr>
            <w:tcW w:w="61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</w:tcPr>
          <w:p w14:paraId="2C210118" w14:textId="2180CBB6" w:rsidR="00303ED2" w:rsidRPr="00303ED2" w:rsidRDefault="00303ED2" w:rsidP="00230D85">
            <w:pPr>
              <w:rPr>
                <w:i/>
                <w:iCs/>
                <w:color w:val="000000" w:themeColor="text1"/>
                <w:highlight w:val="yellow"/>
              </w:rPr>
            </w:pPr>
            <w:r w:rsidRPr="00303ED2">
              <w:rPr>
                <w:i/>
                <w:iCs/>
              </w:rPr>
              <w:t>Gestione incentivi fiscali</w:t>
            </w:r>
          </w:p>
        </w:tc>
      </w:tr>
      <w:tr w:rsidR="00303ED2" w:rsidRPr="00303ED2" w14:paraId="7A9E870C" w14:textId="77777777" w:rsidTr="00FB1271">
        <w:trPr>
          <w:trHeight w:val="285"/>
        </w:trPr>
        <w:tc>
          <w:tcPr>
            <w:tcW w:w="30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50D5CD65" w14:textId="3A919A6A" w:rsidR="00303ED2" w:rsidRPr="00303ED2" w:rsidRDefault="00303ED2" w:rsidP="00303ED2">
            <w:pPr>
              <w:rPr>
                <w:i/>
                <w:iCs/>
                <w:color w:val="000000" w:themeColor="text1"/>
              </w:rPr>
            </w:pPr>
            <w:r w:rsidRPr="00303ED2">
              <w:rPr>
                <w:i/>
                <w:iCs/>
                <w:color w:val="000000" w:themeColor="text1"/>
              </w:rPr>
              <w:t>MERCURIO</w:t>
            </w:r>
          </w:p>
        </w:tc>
        <w:tc>
          <w:tcPr>
            <w:tcW w:w="61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</w:tcPr>
          <w:p w14:paraId="30D7712E" w14:textId="5909777F" w:rsidR="00303ED2" w:rsidRPr="00303ED2" w:rsidRDefault="00303ED2" w:rsidP="00303ED2">
            <w:pPr>
              <w:rPr>
                <w:i/>
                <w:iCs/>
                <w:color w:val="000000" w:themeColor="text1"/>
                <w:highlight w:val="yellow"/>
              </w:rPr>
            </w:pPr>
            <w:proofErr w:type="spellStart"/>
            <w:r w:rsidRPr="00303ED2">
              <w:rPr>
                <w:i/>
                <w:iCs/>
              </w:rPr>
              <w:t>Enterprice</w:t>
            </w:r>
            <w:proofErr w:type="spellEnd"/>
            <w:r w:rsidRPr="00303ED2">
              <w:rPr>
                <w:i/>
                <w:iCs/>
              </w:rPr>
              <w:t xml:space="preserve"> </w:t>
            </w:r>
            <w:proofErr w:type="spellStart"/>
            <w:r w:rsidRPr="00303ED2">
              <w:rPr>
                <w:i/>
                <w:iCs/>
              </w:rPr>
              <w:t>Search</w:t>
            </w:r>
            <w:proofErr w:type="spellEnd"/>
          </w:p>
        </w:tc>
      </w:tr>
      <w:tr w:rsidR="00303ED2" w:rsidRPr="00303ED2" w14:paraId="160497A2" w14:textId="77777777" w:rsidTr="00FB1271">
        <w:trPr>
          <w:trHeight w:val="285"/>
        </w:trPr>
        <w:tc>
          <w:tcPr>
            <w:tcW w:w="30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0AF6D518" w14:textId="47181094" w:rsidR="00303ED2" w:rsidRPr="00303ED2" w:rsidRDefault="00303ED2" w:rsidP="00303ED2">
            <w:pPr>
              <w:rPr>
                <w:i/>
                <w:iCs/>
                <w:color w:val="000000" w:themeColor="text1"/>
              </w:rPr>
            </w:pPr>
            <w:r w:rsidRPr="00303ED2">
              <w:rPr>
                <w:i/>
                <w:iCs/>
                <w:color w:val="000000" w:themeColor="text1"/>
              </w:rPr>
              <w:t>MERCURIO</w:t>
            </w:r>
          </w:p>
        </w:tc>
        <w:tc>
          <w:tcPr>
            <w:tcW w:w="61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</w:tcPr>
          <w:p w14:paraId="56B9E23B" w14:textId="5FA7524B" w:rsidR="00303ED2" w:rsidRPr="00303ED2" w:rsidRDefault="00303ED2" w:rsidP="00303ED2">
            <w:pPr>
              <w:rPr>
                <w:i/>
                <w:iCs/>
                <w:color w:val="000000" w:themeColor="text1"/>
                <w:highlight w:val="yellow"/>
              </w:rPr>
            </w:pPr>
            <w:r w:rsidRPr="00303ED2">
              <w:rPr>
                <w:i/>
                <w:iCs/>
              </w:rPr>
              <w:t>AzureB2C con tecnologia BOX</w:t>
            </w:r>
          </w:p>
        </w:tc>
      </w:tr>
      <w:tr w:rsidR="00303ED2" w:rsidRPr="00303ED2" w14:paraId="2716EB67" w14:textId="77777777" w:rsidTr="00FB1271">
        <w:trPr>
          <w:trHeight w:val="285"/>
        </w:trPr>
        <w:tc>
          <w:tcPr>
            <w:tcW w:w="30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27C36729" w14:textId="3E5881E9" w:rsidR="00303ED2" w:rsidRPr="00303ED2" w:rsidRDefault="00303ED2" w:rsidP="00303ED2">
            <w:pPr>
              <w:rPr>
                <w:i/>
                <w:iCs/>
                <w:color w:val="000000" w:themeColor="text1"/>
              </w:rPr>
            </w:pPr>
            <w:r w:rsidRPr="00303ED2">
              <w:rPr>
                <w:i/>
                <w:iCs/>
                <w:color w:val="000000" w:themeColor="text1"/>
              </w:rPr>
              <w:t>MERCURIO</w:t>
            </w:r>
          </w:p>
        </w:tc>
        <w:tc>
          <w:tcPr>
            <w:tcW w:w="61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</w:tcPr>
          <w:p w14:paraId="48B96400" w14:textId="57126FEE" w:rsidR="00303ED2" w:rsidRPr="00303ED2" w:rsidRDefault="00303ED2" w:rsidP="00303ED2">
            <w:pPr>
              <w:rPr>
                <w:i/>
                <w:iCs/>
                <w:color w:val="000000" w:themeColor="text1"/>
                <w:highlight w:val="yellow"/>
              </w:rPr>
            </w:pPr>
            <w:r w:rsidRPr="00303ED2">
              <w:rPr>
                <w:i/>
                <w:iCs/>
              </w:rPr>
              <w:t xml:space="preserve">Mercurio </w:t>
            </w:r>
            <w:proofErr w:type="spellStart"/>
            <w:r w:rsidRPr="00303ED2">
              <w:rPr>
                <w:i/>
                <w:iCs/>
              </w:rPr>
              <w:t>Utils</w:t>
            </w:r>
            <w:proofErr w:type="spellEnd"/>
            <w:r w:rsidRPr="00303ED2">
              <w:rPr>
                <w:i/>
                <w:iCs/>
              </w:rPr>
              <w:t xml:space="preserve"> 1.2 - OCR PDF Con tecnologia Box</w:t>
            </w:r>
          </w:p>
        </w:tc>
      </w:tr>
    </w:tbl>
    <w:p w14:paraId="2DD83607" w14:textId="2F0D6A07" w:rsidR="00BE1065" w:rsidRDefault="00BE1065" w:rsidP="21EC19F1">
      <w:pPr>
        <w:tabs>
          <w:tab w:val="left" w:pos="9072"/>
        </w:tabs>
        <w:spacing w:line="259" w:lineRule="auto"/>
        <w:rPr>
          <w:i/>
          <w:iCs/>
          <w:sz w:val="24"/>
          <w:szCs w:val="24"/>
        </w:rPr>
      </w:pPr>
    </w:p>
    <w:p w14:paraId="42927BCD" w14:textId="77777777" w:rsidR="00FA23EE" w:rsidRPr="00FA23EE" w:rsidRDefault="00FA23EE" w:rsidP="21EC19F1">
      <w:pPr>
        <w:tabs>
          <w:tab w:val="left" w:pos="9072"/>
        </w:tabs>
        <w:spacing w:line="259" w:lineRule="auto"/>
        <w:rPr>
          <w:sz w:val="24"/>
          <w:szCs w:val="24"/>
        </w:rPr>
      </w:pPr>
    </w:p>
    <w:p w14:paraId="593BEBAA" w14:textId="3BC046CC" w:rsidR="21EC19F1" w:rsidRPr="001100D5" w:rsidRDefault="21EC19F1" w:rsidP="21EC19F1">
      <w:pPr>
        <w:pStyle w:val="BodyText"/>
        <w:tabs>
          <w:tab w:val="left" w:pos="9072"/>
        </w:tabs>
        <w:spacing w:before="46" w:line="247" w:lineRule="auto"/>
        <w:jc w:val="both"/>
        <w:rPr>
          <w:rFonts w:ascii="Calibri" w:hAnsi="Calibri" w:cs="Calibri"/>
          <w:i/>
          <w:iCs/>
        </w:rPr>
      </w:pPr>
    </w:p>
    <w:p w14:paraId="320F40B7" w14:textId="6FDAE0D9" w:rsidR="005F5034" w:rsidRPr="001100D5" w:rsidRDefault="4A526C33" w:rsidP="000C68D0">
      <w:pPr>
        <w:pStyle w:val="Heading2"/>
      </w:pPr>
      <w:bookmarkStart w:id="11" w:name="_Toc177384166"/>
      <w:r w:rsidRPr="001100D5">
        <w:t>BREVE DESCRIZIONE ATTIVITÀ DI MONITORAGGIO SVOLTE</w:t>
      </w:r>
      <w:bookmarkEnd w:id="11"/>
    </w:p>
    <w:p w14:paraId="1B91E35B" w14:textId="18ABF550" w:rsidR="00AB3D00" w:rsidRPr="001100D5" w:rsidRDefault="1ECDA398" w:rsidP="21EC19F1">
      <w:pPr>
        <w:rPr>
          <w:sz w:val="24"/>
          <w:szCs w:val="24"/>
        </w:rPr>
      </w:pPr>
      <w:r w:rsidRPr="001100D5">
        <w:rPr>
          <w:i/>
          <w:iCs/>
          <w:sz w:val="24"/>
          <w:szCs w:val="24"/>
        </w:rPr>
        <w:t xml:space="preserve">L’attività di monitoraggio svolta durante l’esecuzione del contratto si è basata sul calcolo del rispetto dei valori attesi per ciascun indicatore. Pertanto, si osserva il rispetto totale dei valori attesi per ciascun indicatore contrattuale. </w:t>
      </w:r>
    </w:p>
    <w:p w14:paraId="1FB0E75C" w14:textId="3FA08465" w:rsidR="00AB3D00" w:rsidRPr="001100D5" w:rsidRDefault="00AB3D00" w:rsidP="21EC19F1">
      <w:pPr>
        <w:ind w:left="862" w:hanging="578"/>
        <w:jc w:val="both"/>
        <w:rPr>
          <w:b/>
          <w:bCs/>
          <w:sz w:val="24"/>
          <w:szCs w:val="24"/>
        </w:rPr>
      </w:pPr>
    </w:p>
    <w:p w14:paraId="3AF0E81B" w14:textId="6AD7043E" w:rsidR="00AB3D00" w:rsidRPr="001100D5" w:rsidRDefault="00AB3D00" w:rsidP="21EC19F1"/>
    <w:p w14:paraId="4C497FA1" w14:textId="32A9D629" w:rsidR="00840253" w:rsidRPr="001100D5" w:rsidRDefault="4A526C33" w:rsidP="000C68D0">
      <w:pPr>
        <w:pStyle w:val="Heading1"/>
      </w:pPr>
      <w:bookmarkStart w:id="12" w:name="_Toc177384167"/>
      <w:r w:rsidRPr="001100D5">
        <w:t>SINTESI</w:t>
      </w:r>
      <w:r w:rsidRPr="001100D5">
        <w:rPr>
          <w:spacing w:val="-6"/>
        </w:rPr>
        <w:t xml:space="preserve"> </w:t>
      </w:r>
      <w:r w:rsidRPr="001100D5">
        <w:t>PER</w:t>
      </w:r>
      <w:r w:rsidRPr="001100D5">
        <w:rPr>
          <w:spacing w:val="-5"/>
        </w:rPr>
        <w:t xml:space="preserve"> </w:t>
      </w:r>
      <w:r w:rsidRPr="001100D5">
        <w:t>L’ALTA</w:t>
      </w:r>
      <w:r w:rsidRPr="001100D5">
        <w:rPr>
          <w:spacing w:val="-4"/>
        </w:rPr>
        <w:t xml:space="preserve"> </w:t>
      </w:r>
      <w:r w:rsidRPr="001100D5">
        <w:t>DIREZIONE</w:t>
      </w:r>
      <w:bookmarkEnd w:id="12"/>
    </w:p>
    <w:p w14:paraId="242851EA" w14:textId="4B7C257F" w:rsidR="00840253" w:rsidRPr="00FC6F8B" w:rsidRDefault="71D71B8A" w:rsidP="21EC19F1">
      <w:pPr>
        <w:pStyle w:val="pf0"/>
        <w:jc w:val="both"/>
        <w:rPr>
          <w:lang w:val="it-IT"/>
        </w:rPr>
      </w:pPr>
      <w:r w:rsidRPr="00FC6F8B">
        <w:rPr>
          <w:i/>
          <w:iCs/>
          <w:lang w:val="it-IT"/>
        </w:rPr>
        <w:t>Questa informazione sarà condivisa nella prima nota utile dopo la conclusione del contratto.</w:t>
      </w:r>
    </w:p>
    <w:p w14:paraId="3889A1E9" w14:textId="14579CE7" w:rsidR="00840253" w:rsidRPr="001100D5" w:rsidRDefault="00840253" w:rsidP="21EC19F1">
      <w:pPr>
        <w:jc w:val="both"/>
      </w:pPr>
    </w:p>
    <w:p w14:paraId="37DF9EEA" w14:textId="2420C5B0" w:rsidR="000944A7" w:rsidRPr="001100D5" w:rsidRDefault="4A526C33" w:rsidP="000C68D0">
      <w:pPr>
        <w:pStyle w:val="Heading1"/>
      </w:pPr>
      <w:bookmarkStart w:id="13" w:name="_Toc177384168"/>
      <w:r w:rsidRPr="000C68D0">
        <w:t>METODOLOGIA</w:t>
      </w:r>
      <w:r w:rsidRPr="001100D5">
        <w:rPr>
          <w:spacing w:val="-5"/>
        </w:rPr>
        <w:t xml:space="preserve"> </w:t>
      </w:r>
      <w:r w:rsidRPr="001100D5">
        <w:t>DI</w:t>
      </w:r>
      <w:r w:rsidRPr="001100D5">
        <w:rPr>
          <w:spacing w:val="-3"/>
        </w:rPr>
        <w:t xml:space="preserve"> </w:t>
      </w:r>
      <w:r w:rsidRPr="001100D5">
        <w:t>ANALISI</w:t>
      </w:r>
      <w:bookmarkEnd w:id="13"/>
    </w:p>
    <w:p w14:paraId="09B4948A" w14:textId="23D7D219" w:rsidR="00F754FA" w:rsidRPr="001100D5" w:rsidRDefault="7EA44852" w:rsidP="21EC19F1">
      <w:pPr>
        <w:spacing w:line="259" w:lineRule="auto"/>
        <w:rPr>
          <w:i/>
          <w:iCs/>
          <w:sz w:val="24"/>
          <w:szCs w:val="24"/>
        </w:rPr>
      </w:pPr>
      <w:r w:rsidRPr="001100D5">
        <w:rPr>
          <w:i/>
          <w:iCs/>
          <w:sz w:val="24"/>
          <w:szCs w:val="24"/>
        </w:rPr>
        <w:t xml:space="preserve">L’attività di analisi monitoraggio svolta durante l’esecuzione del contratto alla data del monitoraggio si è basata sul calcolo del rispetto dei valori attesi per ciascun indicatore (riportati nella tabella che segue). Pertanto, si osserva il rispetto totale dei valori attesi per ciascun indicatore contrattuale. </w:t>
      </w:r>
    </w:p>
    <w:p w14:paraId="1D611D5E" w14:textId="66AC734B" w:rsidR="00F754FA" w:rsidRPr="001100D5" w:rsidRDefault="00F754FA" w:rsidP="21EC19F1">
      <w:pPr>
        <w:spacing w:line="259" w:lineRule="auto"/>
        <w:rPr>
          <w:i/>
          <w:iCs/>
          <w:sz w:val="24"/>
          <w:szCs w:val="24"/>
        </w:rPr>
      </w:pPr>
    </w:p>
    <w:p w14:paraId="115A0054" w14:textId="7D445B3B" w:rsidR="00F754FA" w:rsidRPr="001100D5" w:rsidRDefault="6F20E5ED" w:rsidP="21EC19F1">
      <w:pPr>
        <w:spacing w:line="259" w:lineRule="auto"/>
        <w:rPr>
          <w:i/>
          <w:iCs/>
          <w:sz w:val="24"/>
          <w:szCs w:val="24"/>
        </w:rPr>
      </w:pPr>
      <w:r w:rsidRPr="001100D5">
        <w:rPr>
          <w:i/>
          <w:iCs/>
          <w:sz w:val="24"/>
          <w:szCs w:val="24"/>
        </w:rPr>
        <w:t>I principali indicatori utilizzati per il monitoraggio e l’analisi dell’andamento del contratto sono riportati seguito.</w:t>
      </w:r>
    </w:p>
    <w:p w14:paraId="69B94211" w14:textId="77D29642" w:rsidR="00F754FA" w:rsidRPr="001100D5" w:rsidRDefault="00F754FA" w:rsidP="21EC19F1">
      <w:pPr>
        <w:spacing w:before="62"/>
        <w:rPr>
          <w:rFonts w:ascii="Calibri" w:eastAsia="Calibri" w:hAnsi="Calibri" w:cs="Calibri"/>
        </w:rPr>
      </w:pPr>
    </w:p>
    <w:p w14:paraId="528E6E1F" w14:textId="4B244077" w:rsidR="00F754FA" w:rsidRPr="001100D5" w:rsidRDefault="00F754FA" w:rsidP="21EC19F1">
      <w:pPr>
        <w:spacing w:before="62"/>
        <w:rPr>
          <w:rFonts w:ascii="Calibri" w:eastAsia="Calibri" w:hAnsi="Calibri" w:cs="Calibri"/>
        </w:rPr>
      </w:pP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70"/>
        <w:gridCol w:w="6660"/>
      </w:tblGrid>
      <w:tr w:rsidR="001100D5" w:rsidRPr="001100D5" w14:paraId="35C3AC9F" w14:textId="77777777" w:rsidTr="21EC19F1">
        <w:trPr>
          <w:trHeight w:val="300"/>
        </w:trPr>
        <w:tc>
          <w:tcPr>
            <w:tcW w:w="2670" w:type="dxa"/>
            <w:shd w:val="clear" w:color="auto" w:fill="D5DCE4"/>
            <w:tcMar>
              <w:left w:w="105" w:type="dxa"/>
              <w:right w:w="105" w:type="dxa"/>
            </w:tcMar>
          </w:tcPr>
          <w:p w14:paraId="0B94362E" w14:textId="34A2C9CB" w:rsidR="21EC19F1" w:rsidRPr="001100D5" w:rsidRDefault="21EC19F1" w:rsidP="21EC19F1">
            <w:pPr>
              <w:spacing w:before="87" w:line="259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6660" w:type="dxa"/>
            <w:shd w:val="clear" w:color="auto" w:fill="D5DCE4"/>
            <w:tcMar>
              <w:left w:w="105" w:type="dxa"/>
              <w:right w:w="105" w:type="dxa"/>
            </w:tcMar>
          </w:tcPr>
          <w:p w14:paraId="1C19E975" w14:textId="146BF376" w:rsidR="21EC19F1" w:rsidRPr="001100D5" w:rsidRDefault="21EC19F1" w:rsidP="21EC19F1">
            <w:pPr>
              <w:spacing w:before="87" w:line="259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1100D5" w:rsidRPr="001100D5" w14:paraId="3FE1E301" w14:textId="77777777" w:rsidTr="21EC19F1">
        <w:trPr>
          <w:trHeight w:val="300"/>
        </w:trPr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E161BDD" w14:textId="22818B53" w:rsidR="21EC19F1" w:rsidRPr="001100D5" w:rsidRDefault="21EC19F1" w:rsidP="21EC19F1">
            <w:pPr>
              <w:pStyle w:val="BodyText"/>
              <w:spacing w:before="87"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1100D5">
              <w:rPr>
                <w:rFonts w:ascii="Calibri" w:eastAsia="Calibri" w:hAnsi="Calibri" w:cs="Calibri"/>
                <w:i/>
                <w:iCs/>
                <w:sz w:val="22"/>
                <w:szCs w:val="22"/>
              </w:rPr>
              <w:t>Sviluppo e MEV del software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2D62421" w14:textId="4980C7D1" w:rsidR="21EC19F1" w:rsidRPr="001100D5" w:rsidRDefault="21EC19F1" w:rsidP="21EC19F1">
            <w:pPr>
              <w:pStyle w:val="BodyText"/>
              <w:spacing w:before="87" w:line="259" w:lineRule="auto"/>
              <w:rPr>
                <w:rFonts w:ascii="Calibri" w:eastAsia="Calibri" w:hAnsi="Calibri" w:cs="Calibri"/>
              </w:rPr>
            </w:pPr>
            <w:r w:rsidRPr="001100D5">
              <w:rPr>
                <w:rFonts w:ascii="Calibri" w:eastAsia="Calibri" w:hAnsi="Calibri" w:cs="Calibri"/>
                <w:i/>
                <w:iCs/>
              </w:rPr>
              <w:t>• RSPL – Rispetto del Piano di lavoro di obiettivo</w:t>
            </w:r>
          </w:p>
          <w:p w14:paraId="01723B53" w14:textId="7AFFFC72" w:rsidR="21EC19F1" w:rsidRPr="001100D5" w:rsidRDefault="21EC19F1" w:rsidP="21EC19F1">
            <w:pPr>
              <w:pStyle w:val="BodyText"/>
              <w:spacing w:before="87" w:line="259" w:lineRule="auto"/>
              <w:rPr>
                <w:rFonts w:ascii="Calibri" w:eastAsia="Calibri" w:hAnsi="Calibri" w:cs="Calibri"/>
              </w:rPr>
            </w:pPr>
            <w:r w:rsidRPr="001100D5">
              <w:rPr>
                <w:rFonts w:ascii="Calibri" w:eastAsia="Calibri" w:hAnsi="Calibri" w:cs="Calibri"/>
                <w:i/>
                <w:iCs/>
              </w:rPr>
              <w:t>• GSCO – Giorni di sospensione del collaudo</w:t>
            </w:r>
          </w:p>
          <w:p w14:paraId="52E2D593" w14:textId="2B55A945" w:rsidR="21EC19F1" w:rsidRPr="001100D5" w:rsidRDefault="21EC19F1" w:rsidP="21EC19F1">
            <w:pPr>
              <w:pStyle w:val="BodyText"/>
              <w:spacing w:before="87" w:line="259" w:lineRule="auto"/>
              <w:rPr>
                <w:rFonts w:ascii="Calibri" w:eastAsia="Calibri" w:hAnsi="Calibri" w:cs="Calibri"/>
              </w:rPr>
            </w:pPr>
            <w:r w:rsidRPr="001100D5">
              <w:rPr>
                <w:rFonts w:ascii="Calibri" w:eastAsia="Calibri" w:hAnsi="Calibri" w:cs="Calibri"/>
                <w:i/>
                <w:iCs/>
              </w:rPr>
              <w:t xml:space="preserve">• DAES – </w:t>
            </w:r>
            <w:proofErr w:type="spellStart"/>
            <w:r w:rsidRPr="001100D5">
              <w:rPr>
                <w:rFonts w:ascii="Calibri" w:eastAsia="Calibri" w:hAnsi="Calibri" w:cs="Calibri"/>
                <w:i/>
                <w:iCs/>
              </w:rPr>
              <w:t>Difettosita</w:t>
            </w:r>
            <w:proofErr w:type="spellEnd"/>
            <w:r w:rsidRPr="001100D5">
              <w:rPr>
                <w:rFonts w:ascii="Calibri" w:eastAsia="Calibri" w:hAnsi="Calibri" w:cs="Calibri"/>
                <w:i/>
                <w:iCs/>
              </w:rPr>
              <w:t xml:space="preserve"> in avvio in esercizio</w:t>
            </w:r>
          </w:p>
          <w:p w14:paraId="5F4D4A40" w14:textId="48E7A850" w:rsidR="21EC19F1" w:rsidRPr="001100D5" w:rsidRDefault="21EC19F1" w:rsidP="21EC19F1">
            <w:pPr>
              <w:pStyle w:val="BodyText"/>
              <w:spacing w:before="87" w:line="259" w:lineRule="auto"/>
              <w:rPr>
                <w:rFonts w:ascii="Calibri" w:eastAsia="Calibri" w:hAnsi="Calibri" w:cs="Calibri"/>
              </w:rPr>
            </w:pPr>
            <w:r w:rsidRPr="001100D5">
              <w:rPr>
                <w:rFonts w:ascii="Calibri" w:eastAsia="Calibri" w:hAnsi="Calibri" w:cs="Calibri"/>
                <w:i/>
                <w:iCs/>
              </w:rPr>
              <w:t>• CTFU – Copertura test funzionali</w:t>
            </w:r>
          </w:p>
          <w:p w14:paraId="54252518" w14:textId="4B03B3CA" w:rsidR="21EC19F1" w:rsidRPr="001100D5" w:rsidRDefault="21EC19F1" w:rsidP="21EC19F1">
            <w:pPr>
              <w:pStyle w:val="BodyText"/>
              <w:spacing w:before="87" w:line="259" w:lineRule="auto"/>
              <w:rPr>
                <w:rFonts w:ascii="Calibri" w:eastAsia="Calibri" w:hAnsi="Calibri" w:cs="Calibri"/>
              </w:rPr>
            </w:pPr>
            <w:r w:rsidRPr="001100D5">
              <w:rPr>
                <w:rFonts w:ascii="Calibri" w:eastAsia="Calibri" w:hAnsi="Calibri" w:cs="Calibri"/>
                <w:i/>
                <w:iCs/>
              </w:rPr>
              <w:t>• RIUSO – Riuso di componenti</w:t>
            </w:r>
          </w:p>
          <w:p w14:paraId="6B97DD7E" w14:textId="573B1F31" w:rsidR="21EC19F1" w:rsidRPr="001100D5" w:rsidRDefault="21EC19F1" w:rsidP="21EC19F1">
            <w:pPr>
              <w:pStyle w:val="BodyText"/>
              <w:spacing w:before="87" w:line="259" w:lineRule="auto"/>
              <w:rPr>
                <w:rFonts w:ascii="Calibri" w:eastAsia="Calibri" w:hAnsi="Calibri" w:cs="Calibri"/>
              </w:rPr>
            </w:pPr>
            <w:r w:rsidRPr="001100D5">
              <w:rPr>
                <w:rFonts w:ascii="Calibri" w:eastAsia="Calibri" w:hAnsi="Calibri" w:cs="Calibri"/>
                <w:i/>
                <w:iCs/>
              </w:rPr>
              <w:t xml:space="preserve">• TRCG – </w:t>
            </w:r>
            <w:proofErr w:type="spellStart"/>
            <w:r w:rsidRPr="001100D5">
              <w:rPr>
                <w:rFonts w:ascii="Calibri" w:eastAsia="Calibri" w:hAnsi="Calibri" w:cs="Calibri"/>
                <w:i/>
                <w:iCs/>
              </w:rPr>
              <w:t>Tempestivita</w:t>
            </w:r>
            <w:proofErr w:type="spellEnd"/>
            <w:r w:rsidRPr="001100D5">
              <w:rPr>
                <w:rFonts w:ascii="Calibri" w:eastAsia="Calibri" w:hAnsi="Calibri" w:cs="Calibri"/>
                <w:i/>
                <w:iCs/>
              </w:rPr>
              <w:t xml:space="preserve"> di Ripristino dell’</w:t>
            </w:r>
            <w:proofErr w:type="spellStart"/>
            <w:r w:rsidRPr="001100D5">
              <w:rPr>
                <w:rFonts w:ascii="Calibri" w:eastAsia="Calibri" w:hAnsi="Calibri" w:cs="Calibri"/>
                <w:i/>
                <w:iCs/>
              </w:rPr>
              <w:t>Operativita</w:t>
            </w:r>
            <w:proofErr w:type="spellEnd"/>
            <w:r w:rsidRPr="001100D5">
              <w:rPr>
                <w:rFonts w:ascii="Calibri" w:eastAsia="Calibri" w:hAnsi="Calibri" w:cs="Calibri"/>
                <w:i/>
                <w:iCs/>
              </w:rPr>
              <w:t xml:space="preserve"> in collaudo ed in garanzia</w:t>
            </w:r>
          </w:p>
          <w:p w14:paraId="08E2E0AC" w14:textId="660D713A" w:rsidR="21EC19F1" w:rsidRPr="001100D5" w:rsidRDefault="21EC19F1" w:rsidP="21EC19F1">
            <w:pPr>
              <w:pStyle w:val="BodyText"/>
              <w:spacing w:before="87" w:line="259" w:lineRule="auto"/>
              <w:rPr>
                <w:rFonts w:ascii="Calibri" w:eastAsia="Calibri" w:hAnsi="Calibri" w:cs="Calibri"/>
              </w:rPr>
            </w:pPr>
            <w:r w:rsidRPr="001100D5">
              <w:rPr>
                <w:rFonts w:ascii="Calibri" w:eastAsia="Calibri" w:hAnsi="Calibri" w:cs="Calibri"/>
                <w:i/>
                <w:iCs/>
              </w:rPr>
              <w:t>• TROR – Totale Rilievi Obiettivo Realizzativo</w:t>
            </w:r>
          </w:p>
          <w:p w14:paraId="2302184F" w14:textId="2E1769F9" w:rsidR="21EC19F1" w:rsidRPr="001100D5" w:rsidRDefault="21EC19F1" w:rsidP="21EC19F1">
            <w:pPr>
              <w:pStyle w:val="BodyText"/>
              <w:spacing w:before="87" w:line="259" w:lineRule="auto"/>
              <w:rPr>
                <w:rFonts w:ascii="Calibri" w:eastAsia="Calibri" w:hAnsi="Calibri" w:cs="Calibri"/>
              </w:rPr>
            </w:pPr>
            <w:r w:rsidRPr="001100D5">
              <w:rPr>
                <w:rFonts w:ascii="Calibri" w:eastAsia="Calibri" w:hAnsi="Calibri" w:cs="Calibri"/>
                <w:i/>
                <w:iCs/>
              </w:rPr>
              <w:t>Inoltre in sede di Collaudo si terranno conto e verranno misurati/valutati anche i seguenti Indicatori:</w:t>
            </w:r>
          </w:p>
          <w:p w14:paraId="188BF841" w14:textId="7240F110" w:rsidR="21EC19F1" w:rsidRPr="001100D5" w:rsidRDefault="21EC19F1" w:rsidP="21EC19F1">
            <w:pPr>
              <w:pStyle w:val="BodyText"/>
              <w:spacing w:before="87" w:line="259" w:lineRule="auto"/>
              <w:rPr>
                <w:rFonts w:ascii="Calibri" w:eastAsia="Calibri" w:hAnsi="Calibri" w:cs="Calibri"/>
              </w:rPr>
            </w:pPr>
            <w:r w:rsidRPr="001100D5">
              <w:rPr>
                <w:rFonts w:ascii="Calibri" w:eastAsia="Calibri" w:hAnsi="Calibri" w:cs="Calibri"/>
                <w:i/>
                <w:iCs/>
              </w:rPr>
              <w:t xml:space="preserve">• DFCC – </w:t>
            </w:r>
            <w:proofErr w:type="spellStart"/>
            <w:r w:rsidRPr="001100D5">
              <w:rPr>
                <w:rFonts w:ascii="Calibri" w:eastAsia="Calibri" w:hAnsi="Calibri" w:cs="Calibri"/>
                <w:i/>
                <w:iCs/>
              </w:rPr>
              <w:t>Difettosita</w:t>
            </w:r>
            <w:proofErr w:type="spellEnd"/>
            <w:r w:rsidRPr="001100D5">
              <w:rPr>
                <w:rFonts w:ascii="Calibri" w:eastAsia="Calibri" w:hAnsi="Calibri" w:cs="Calibri"/>
                <w:i/>
                <w:iCs/>
              </w:rPr>
              <w:t xml:space="preserve"> in collaudo</w:t>
            </w:r>
          </w:p>
          <w:p w14:paraId="1F5FB4CB" w14:textId="46138993" w:rsidR="21EC19F1" w:rsidRPr="001100D5" w:rsidRDefault="21EC19F1" w:rsidP="21EC19F1">
            <w:pPr>
              <w:pStyle w:val="BodyText"/>
              <w:spacing w:before="87" w:line="259" w:lineRule="auto"/>
              <w:rPr>
                <w:rFonts w:ascii="Calibri" w:eastAsia="Calibri" w:hAnsi="Calibri" w:cs="Calibri"/>
              </w:rPr>
            </w:pPr>
            <w:r w:rsidRPr="001100D5">
              <w:rPr>
                <w:rFonts w:ascii="Calibri" w:eastAsia="Calibri" w:hAnsi="Calibri" w:cs="Calibri"/>
                <w:i/>
                <w:iCs/>
              </w:rPr>
              <w:t>• MDTE – Miglioramento Debito Tecnico (moduli preesistenti)</w:t>
            </w:r>
          </w:p>
          <w:p w14:paraId="49D52024" w14:textId="45B34C48" w:rsidR="21EC19F1" w:rsidRPr="001100D5" w:rsidRDefault="21EC19F1" w:rsidP="21EC19F1">
            <w:pPr>
              <w:pStyle w:val="BodyText"/>
              <w:spacing w:before="87" w:line="259" w:lineRule="auto"/>
              <w:rPr>
                <w:rFonts w:ascii="Calibri" w:eastAsia="Calibri" w:hAnsi="Calibri" w:cs="Calibri"/>
              </w:rPr>
            </w:pPr>
            <w:r w:rsidRPr="001100D5">
              <w:rPr>
                <w:rFonts w:ascii="Calibri" w:eastAsia="Calibri" w:hAnsi="Calibri" w:cs="Calibri"/>
                <w:i/>
                <w:iCs/>
              </w:rPr>
              <w:t>• TRPM – Tempo di Risposta post-migrazione</w:t>
            </w:r>
          </w:p>
          <w:p w14:paraId="38E63607" w14:textId="219DBD70" w:rsidR="21EC19F1" w:rsidRPr="001100D5" w:rsidRDefault="21EC19F1" w:rsidP="21EC19F1">
            <w:pPr>
              <w:pStyle w:val="BodyText"/>
              <w:spacing w:before="87"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1100D5">
              <w:rPr>
                <w:rFonts w:ascii="Calibri" w:eastAsia="Calibri" w:hAnsi="Calibri" w:cs="Calibri"/>
                <w:i/>
                <w:iCs/>
                <w:sz w:val="22"/>
                <w:szCs w:val="22"/>
              </w:rPr>
              <w:t xml:space="preserve">• QNFU – </w:t>
            </w:r>
            <w:proofErr w:type="spellStart"/>
            <w:r w:rsidRPr="001100D5">
              <w:rPr>
                <w:rFonts w:ascii="Calibri" w:eastAsia="Calibri" w:hAnsi="Calibri" w:cs="Calibri"/>
                <w:i/>
                <w:iCs/>
                <w:sz w:val="22"/>
                <w:szCs w:val="22"/>
              </w:rPr>
              <w:t>Qualita</w:t>
            </w:r>
            <w:proofErr w:type="spellEnd"/>
            <w:r w:rsidRPr="001100D5">
              <w:rPr>
                <w:rFonts w:ascii="Calibri" w:eastAsia="Calibri" w:hAnsi="Calibri" w:cs="Calibri"/>
                <w:i/>
                <w:iCs/>
                <w:sz w:val="22"/>
                <w:szCs w:val="22"/>
              </w:rPr>
              <w:t xml:space="preserve"> Non Funzionale</w:t>
            </w:r>
          </w:p>
        </w:tc>
      </w:tr>
      <w:tr w:rsidR="001100D5" w:rsidRPr="001100D5" w14:paraId="36899A79" w14:textId="77777777" w:rsidTr="21EC19F1">
        <w:trPr>
          <w:trHeight w:val="300"/>
        </w:trPr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FA17513" w14:textId="4FCAE5AA" w:rsidR="21EC19F1" w:rsidRPr="001100D5" w:rsidRDefault="21EC19F1" w:rsidP="21EC19F1">
            <w:pPr>
              <w:pStyle w:val="BodyText"/>
              <w:spacing w:before="87"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1100D5">
              <w:rPr>
                <w:rFonts w:ascii="Calibri" w:eastAsia="Calibri" w:hAnsi="Calibri" w:cs="Calibri"/>
                <w:i/>
                <w:iCs/>
                <w:sz w:val="22"/>
                <w:szCs w:val="22"/>
              </w:rPr>
              <w:t>Servizi di Manutenzione Correttiva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EDCDA94" w14:textId="7FFD6C38" w:rsidR="21EC19F1" w:rsidRPr="001100D5" w:rsidRDefault="21EC19F1" w:rsidP="21EC19F1">
            <w:pPr>
              <w:pStyle w:val="BodyText"/>
              <w:spacing w:before="87" w:line="259" w:lineRule="auto"/>
              <w:rPr>
                <w:rFonts w:ascii="Calibri" w:eastAsia="Calibri" w:hAnsi="Calibri" w:cs="Calibri"/>
              </w:rPr>
            </w:pPr>
            <w:r w:rsidRPr="001100D5">
              <w:rPr>
                <w:rFonts w:ascii="Calibri" w:eastAsia="Calibri" w:hAnsi="Calibri" w:cs="Calibri"/>
                <w:i/>
                <w:iCs/>
              </w:rPr>
              <w:t xml:space="preserve">• TROI – </w:t>
            </w:r>
            <w:proofErr w:type="spellStart"/>
            <w:r w:rsidRPr="001100D5">
              <w:rPr>
                <w:rFonts w:ascii="Calibri" w:eastAsia="Calibri" w:hAnsi="Calibri" w:cs="Calibri"/>
                <w:i/>
                <w:iCs/>
              </w:rPr>
              <w:t>Tempestivita</w:t>
            </w:r>
            <w:proofErr w:type="spellEnd"/>
            <w:r w:rsidRPr="001100D5">
              <w:rPr>
                <w:rFonts w:ascii="Calibri" w:eastAsia="Calibri" w:hAnsi="Calibri" w:cs="Calibri"/>
                <w:i/>
                <w:iCs/>
              </w:rPr>
              <w:t xml:space="preserve"> di Ripristino dell’</w:t>
            </w:r>
            <w:proofErr w:type="spellStart"/>
            <w:r w:rsidRPr="001100D5">
              <w:rPr>
                <w:rFonts w:ascii="Calibri" w:eastAsia="Calibri" w:hAnsi="Calibri" w:cs="Calibri"/>
                <w:i/>
                <w:iCs/>
              </w:rPr>
              <w:t>Operativita</w:t>
            </w:r>
            <w:proofErr w:type="spellEnd"/>
            <w:r w:rsidRPr="001100D5">
              <w:rPr>
                <w:rFonts w:ascii="Calibri" w:eastAsia="Calibri" w:hAnsi="Calibri" w:cs="Calibri"/>
                <w:i/>
                <w:iCs/>
              </w:rPr>
              <w:t xml:space="preserve"> in esercizio</w:t>
            </w:r>
          </w:p>
          <w:p w14:paraId="2F44CDD9" w14:textId="263CEE9D" w:rsidR="21EC19F1" w:rsidRPr="001100D5" w:rsidRDefault="21EC19F1" w:rsidP="21EC19F1">
            <w:pPr>
              <w:pStyle w:val="BodyText"/>
              <w:spacing w:before="87" w:line="259" w:lineRule="auto"/>
              <w:rPr>
                <w:rFonts w:ascii="Calibri" w:eastAsia="Calibri" w:hAnsi="Calibri" w:cs="Calibri"/>
              </w:rPr>
            </w:pPr>
            <w:r w:rsidRPr="001100D5">
              <w:rPr>
                <w:rFonts w:ascii="Calibri" w:eastAsia="Calibri" w:hAnsi="Calibri" w:cs="Calibri"/>
                <w:i/>
                <w:iCs/>
              </w:rPr>
              <w:t>• CSR – Interventi di manutenzione correttiva recidivi</w:t>
            </w:r>
          </w:p>
          <w:p w14:paraId="030EE756" w14:textId="3878DE8E" w:rsidR="21EC19F1" w:rsidRPr="001100D5" w:rsidRDefault="21EC19F1" w:rsidP="21EC19F1">
            <w:pPr>
              <w:pStyle w:val="BodyText"/>
              <w:spacing w:before="87"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1100D5">
              <w:rPr>
                <w:rFonts w:ascii="Calibri" w:eastAsia="Calibri" w:hAnsi="Calibri" w:cs="Calibri"/>
                <w:i/>
                <w:iCs/>
                <w:sz w:val="22"/>
                <w:szCs w:val="22"/>
              </w:rPr>
              <w:t>• RMCO – Rilievi di Manutenzione Correttiva</w:t>
            </w:r>
          </w:p>
        </w:tc>
      </w:tr>
      <w:tr w:rsidR="001100D5" w:rsidRPr="001100D5" w14:paraId="62412DD6" w14:textId="77777777" w:rsidTr="21EC19F1">
        <w:trPr>
          <w:trHeight w:val="300"/>
        </w:trPr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D8E4A37" w14:textId="5293F43E" w:rsidR="21EC19F1" w:rsidRPr="001100D5" w:rsidRDefault="21EC19F1" w:rsidP="21EC19F1">
            <w:pPr>
              <w:pStyle w:val="BodyText"/>
              <w:spacing w:before="87"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1100D5">
              <w:rPr>
                <w:rFonts w:ascii="Calibri" w:eastAsia="Calibri" w:hAnsi="Calibri" w:cs="Calibri"/>
                <w:i/>
                <w:iCs/>
                <w:sz w:val="22"/>
                <w:szCs w:val="22"/>
              </w:rPr>
              <w:t>Servizi di Supporto Tecnico-Specialistico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F1807E0" w14:textId="42B47492" w:rsidR="21EC19F1" w:rsidRPr="001100D5" w:rsidRDefault="21EC19F1" w:rsidP="21EC19F1">
            <w:pPr>
              <w:widowControl/>
              <w:rPr>
                <w:rFonts w:ascii="Calibri" w:eastAsia="Calibri" w:hAnsi="Calibri" w:cs="Calibri"/>
              </w:rPr>
            </w:pPr>
            <w:r w:rsidRPr="001100D5">
              <w:t xml:space="preserve">• </w:t>
            </w:r>
            <w:r w:rsidRPr="001100D5">
              <w:rPr>
                <w:rFonts w:ascii="Calibri" w:eastAsia="Calibri" w:hAnsi="Calibri" w:cs="Calibri"/>
              </w:rPr>
              <w:t>SPSS – Slittamento nella consegna di un prodotto e/o di un’</w:t>
            </w:r>
            <w:proofErr w:type="spellStart"/>
            <w:r w:rsidRPr="001100D5">
              <w:rPr>
                <w:rFonts w:ascii="Calibri" w:eastAsia="Calibri" w:hAnsi="Calibri" w:cs="Calibri"/>
              </w:rPr>
              <w:t>attivita</w:t>
            </w:r>
            <w:proofErr w:type="spellEnd"/>
            <w:r w:rsidRPr="001100D5">
              <w:rPr>
                <w:rFonts w:ascii="Calibri" w:eastAsia="Calibri" w:hAnsi="Calibri" w:cs="Calibri"/>
              </w:rPr>
              <w:t xml:space="preserve"> del servizio di Supporto</w:t>
            </w:r>
          </w:p>
          <w:p w14:paraId="03D04666" w14:textId="37793E2A" w:rsidR="21EC19F1" w:rsidRPr="001100D5" w:rsidRDefault="21EC19F1" w:rsidP="21EC19F1">
            <w:pPr>
              <w:widowControl/>
              <w:rPr>
                <w:rFonts w:ascii="Calibri" w:eastAsia="Calibri" w:hAnsi="Calibri" w:cs="Calibri"/>
              </w:rPr>
            </w:pPr>
            <w:r w:rsidRPr="001100D5">
              <w:rPr>
                <w:rFonts w:ascii="Calibri" w:eastAsia="Calibri" w:hAnsi="Calibri" w:cs="Calibri"/>
              </w:rPr>
              <w:t>Specialistico</w:t>
            </w:r>
          </w:p>
          <w:p w14:paraId="35F2D36C" w14:textId="2B74FCD5" w:rsidR="21EC19F1" w:rsidRPr="001100D5" w:rsidRDefault="21EC19F1" w:rsidP="21EC19F1">
            <w:pPr>
              <w:widowControl/>
              <w:rPr>
                <w:rFonts w:ascii="Calibri" w:eastAsia="Calibri" w:hAnsi="Calibri" w:cs="Calibri"/>
              </w:rPr>
            </w:pPr>
            <w:r w:rsidRPr="001100D5">
              <w:t xml:space="preserve">• </w:t>
            </w:r>
            <w:r w:rsidRPr="001100D5">
              <w:rPr>
                <w:rFonts w:ascii="Calibri" w:eastAsia="Calibri" w:hAnsi="Calibri" w:cs="Calibri"/>
              </w:rPr>
              <w:t xml:space="preserve">CSIS - Customer </w:t>
            </w:r>
            <w:proofErr w:type="spellStart"/>
            <w:r w:rsidRPr="001100D5">
              <w:rPr>
                <w:rFonts w:ascii="Calibri" w:eastAsia="Calibri" w:hAnsi="Calibri" w:cs="Calibri"/>
              </w:rPr>
              <w:t>effort</w:t>
            </w:r>
            <w:proofErr w:type="spellEnd"/>
            <w:r w:rsidRPr="001100D5">
              <w:rPr>
                <w:rFonts w:ascii="Calibri" w:eastAsia="Calibri" w:hAnsi="Calibri" w:cs="Calibri"/>
              </w:rPr>
              <w:t xml:space="preserve"> Score dell’intervento specialistico</w:t>
            </w:r>
          </w:p>
          <w:p w14:paraId="7391170A" w14:textId="223F52EB" w:rsidR="21EC19F1" w:rsidRPr="001100D5" w:rsidRDefault="21EC19F1" w:rsidP="21EC19F1">
            <w:pPr>
              <w:pStyle w:val="BodyText"/>
              <w:spacing w:before="87" w:line="259" w:lineRule="auto"/>
              <w:rPr>
                <w:rFonts w:ascii="Calibri" w:eastAsia="Calibri" w:hAnsi="Calibri" w:cs="Calibri"/>
              </w:rPr>
            </w:pPr>
            <w:r w:rsidRPr="001100D5">
              <w:t xml:space="preserve">• </w:t>
            </w:r>
            <w:r w:rsidRPr="001100D5">
              <w:rPr>
                <w:rFonts w:ascii="Calibri" w:eastAsia="Calibri" w:hAnsi="Calibri" w:cs="Calibri"/>
              </w:rPr>
              <w:t>RSSP – Rilievi sui servizi di supporto specialistico</w:t>
            </w:r>
          </w:p>
        </w:tc>
      </w:tr>
      <w:tr w:rsidR="001100D5" w:rsidRPr="001100D5" w14:paraId="6C84AC70" w14:textId="77777777" w:rsidTr="21EC19F1">
        <w:trPr>
          <w:trHeight w:val="300"/>
        </w:trPr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18FA8B8" w14:textId="008AF43A" w:rsidR="21EC19F1" w:rsidRPr="001100D5" w:rsidRDefault="21EC19F1" w:rsidP="21EC19F1">
            <w:pPr>
              <w:pStyle w:val="BodyText"/>
              <w:spacing w:before="87"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1100D5">
              <w:rPr>
                <w:rFonts w:ascii="Calibri" w:eastAsia="Calibri" w:hAnsi="Calibri" w:cs="Calibri"/>
                <w:i/>
                <w:iCs/>
                <w:sz w:val="22"/>
                <w:szCs w:val="22"/>
              </w:rPr>
              <w:t>Servizi di Gestione del Portafoglio Applicativo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4D510FA" w14:textId="4200B57A" w:rsidR="21EC19F1" w:rsidRPr="001100D5" w:rsidRDefault="21EC19F1" w:rsidP="21EC19F1">
            <w:pPr>
              <w:widowControl/>
              <w:rPr>
                <w:rFonts w:ascii="Calibri" w:eastAsia="Calibri" w:hAnsi="Calibri" w:cs="Calibri"/>
              </w:rPr>
            </w:pPr>
            <w:r w:rsidRPr="001100D5">
              <w:t xml:space="preserve">• </w:t>
            </w:r>
            <w:r w:rsidRPr="001100D5">
              <w:rPr>
                <w:rFonts w:ascii="Calibri" w:eastAsia="Calibri" w:hAnsi="Calibri" w:cs="Calibri"/>
              </w:rPr>
              <w:t xml:space="preserve">DSGP – </w:t>
            </w:r>
            <w:proofErr w:type="spellStart"/>
            <w:r w:rsidRPr="001100D5">
              <w:rPr>
                <w:rFonts w:ascii="Calibri" w:eastAsia="Calibri" w:hAnsi="Calibri" w:cs="Calibri"/>
              </w:rPr>
              <w:t>Disponibilita</w:t>
            </w:r>
            <w:proofErr w:type="spellEnd"/>
            <w:r w:rsidRPr="001100D5">
              <w:rPr>
                <w:rFonts w:ascii="Calibri" w:eastAsia="Calibri" w:hAnsi="Calibri" w:cs="Calibri"/>
              </w:rPr>
              <w:t xml:space="preserve"> dei servizi di gestione del portafoglio applicativo</w:t>
            </w:r>
          </w:p>
          <w:p w14:paraId="2D70B6CD" w14:textId="31C5F6E7" w:rsidR="21EC19F1" w:rsidRPr="001100D5" w:rsidRDefault="21EC19F1" w:rsidP="21EC19F1">
            <w:pPr>
              <w:widowControl/>
              <w:rPr>
                <w:rFonts w:ascii="Calibri" w:eastAsia="Calibri" w:hAnsi="Calibri" w:cs="Calibri"/>
              </w:rPr>
            </w:pPr>
            <w:r w:rsidRPr="001100D5">
              <w:t xml:space="preserve">• </w:t>
            </w:r>
            <w:r w:rsidRPr="001100D5">
              <w:rPr>
                <w:rFonts w:ascii="Calibri" w:eastAsia="Calibri" w:hAnsi="Calibri" w:cs="Calibri"/>
              </w:rPr>
              <w:t>RSCA – Rispetto di una scadenza dei servizi di gestione del Portafoglio</w:t>
            </w:r>
          </w:p>
          <w:p w14:paraId="0BBD6F08" w14:textId="7FF182CC" w:rsidR="21EC19F1" w:rsidRPr="001100D5" w:rsidRDefault="21EC19F1" w:rsidP="21EC19F1">
            <w:pPr>
              <w:widowControl/>
              <w:rPr>
                <w:rFonts w:ascii="Calibri" w:eastAsia="Calibri" w:hAnsi="Calibri" w:cs="Calibri"/>
              </w:rPr>
            </w:pPr>
            <w:r w:rsidRPr="001100D5">
              <w:t xml:space="preserve">• </w:t>
            </w:r>
            <w:r w:rsidRPr="001100D5">
              <w:rPr>
                <w:rFonts w:ascii="Calibri" w:eastAsia="Calibri" w:hAnsi="Calibri" w:cs="Calibri"/>
              </w:rPr>
              <w:t xml:space="preserve">TRRA – </w:t>
            </w:r>
            <w:proofErr w:type="spellStart"/>
            <w:r w:rsidRPr="001100D5">
              <w:rPr>
                <w:rFonts w:ascii="Calibri" w:eastAsia="Calibri" w:hAnsi="Calibri" w:cs="Calibri"/>
              </w:rPr>
              <w:t>Tempestivita</w:t>
            </w:r>
            <w:proofErr w:type="spellEnd"/>
            <w:r w:rsidRPr="001100D5">
              <w:rPr>
                <w:rFonts w:ascii="Calibri" w:eastAsia="Calibri" w:hAnsi="Calibri" w:cs="Calibri"/>
              </w:rPr>
              <w:t xml:space="preserve"> di risoluzione delle richieste di assistenza</w:t>
            </w:r>
          </w:p>
          <w:p w14:paraId="5D8C5B1B" w14:textId="0B4ABDA3" w:rsidR="21EC19F1" w:rsidRPr="001100D5" w:rsidRDefault="21EC19F1" w:rsidP="21EC19F1">
            <w:pPr>
              <w:widowControl/>
              <w:rPr>
                <w:rFonts w:ascii="Calibri" w:eastAsia="Calibri" w:hAnsi="Calibri" w:cs="Calibri"/>
              </w:rPr>
            </w:pPr>
            <w:r w:rsidRPr="001100D5">
              <w:t xml:space="preserve">• </w:t>
            </w:r>
            <w:r w:rsidRPr="001100D5">
              <w:rPr>
                <w:rFonts w:ascii="Calibri" w:eastAsia="Calibri" w:hAnsi="Calibri" w:cs="Calibri"/>
              </w:rPr>
              <w:t>NRPR – Numero di ricicli su deliverables rilasciati</w:t>
            </w:r>
          </w:p>
          <w:p w14:paraId="5E9060E7" w14:textId="17A4C465" w:rsidR="21EC19F1" w:rsidRPr="001100D5" w:rsidRDefault="21EC19F1" w:rsidP="21EC19F1">
            <w:pPr>
              <w:pStyle w:val="BodyText"/>
              <w:spacing w:before="87" w:line="259" w:lineRule="auto"/>
              <w:rPr>
                <w:rFonts w:ascii="Calibri" w:eastAsia="Calibri" w:hAnsi="Calibri" w:cs="Calibri"/>
              </w:rPr>
            </w:pPr>
            <w:r w:rsidRPr="001100D5">
              <w:t xml:space="preserve">• </w:t>
            </w:r>
            <w:r w:rsidRPr="001100D5">
              <w:rPr>
                <w:rFonts w:ascii="Calibri" w:eastAsia="Calibri" w:hAnsi="Calibri" w:cs="Calibri"/>
              </w:rPr>
              <w:t>RSGT – Rilievi sui servizi di gestione del Portafoglio applicativo</w:t>
            </w:r>
          </w:p>
        </w:tc>
      </w:tr>
    </w:tbl>
    <w:p w14:paraId="4FEE1D1E" w14:textId="34469222" w:rsidR="00F754FA" w:rsidRDefault="7EA44852" w:rsidP="21EC19F1">
      <w:pPr>
        <w:spacing w:line="259" w:lineRule="auto"/>
        <w:rPr>
          <w:i/>
          <w:iCs/>
          <w:sz w:val="24"/>
          <w:szCs w:val="24"/>
        </w:rPr>
      </w:pPr>
      <w:r w:rsidRPr="001100D5">
        <w:rPr>
          <w:i/>
          <w:iCs/>
          <w:sz w:val="24"/>
          <w:szCs w:val="24"/>
        </w:rPr>
        <w:t xml:space="preserve">Per visionare nel dettaglio i valori calcolati per ciascun indicatore oggetto di monitoraggio, si può fare riferimento al file </w:t>
      </w:r>
      <w:proofErr w:type="spellStart"/>
      <w:r w:rsidRPr="001100D5">
        <w:rPr>
          <w:i/>
          <w:iCs/>
          <w:sz w:val="24"/>
          <w:szCs w:val="24"/>
        </w:rPr>
        <w:t>excel</w:t>
      </w:r>
      <w:proofErr w:type="spellEnd"/>
      <w:r w:rsidRPr="001100D5">
        <w:rPr>
          <w:i/>
          <w:iCs/>
          <w:sz w:val="24"/>
          <w:szCs w:val="24"/>
        </w:rPr>
        <w:t xml:space="preserve"> riportato di seguito.</w:t>
      </w:r>
    </w:p>
    <w:p w14:paraId="3F5B38CA" w14:textId="66AD5E8A" w:rsidR="00C8209F" w:rsidRPr="001100D5" w:rsidRDefault="00C8209F" w:rsidP="21EC19F1">
      <w:pPr>
        <w:spacing w:line="259" w:lineRule="auto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object w:dxaOrig="1539" w:dyaOrig="996" w14:anchorId="2410C7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13" o:title=""/>
          </v:shape>
          <o:OLEObject Type="Embed" ProgID="Excel.Sheet.12" ShapeID="_x0000_i1025" DrawAspect="Icon" ObjectID="_1788098382" r:id="rId14"/>
        </w:object>
      </w:r>
    </w:p>
    <w:p w14:paraId="74F076D9" w14:textId="02B90139" w:rsidR="00F754FA" w:rsidRPr="001100D5" w:rsidRDefault="00F754FA" w:rsidP="21EC19F1">
      <w:pPr>
        <w:pStyle w:val="ListParagraph"/>
        <w:spacing w:before="87" w:after="60" w:line="259" w:lineRule="auto"/>
        <w:ind w:hanging="11"/>
        <w:jc w:val="both"/>
        <w:rPr>
          <w:i/>
          <w:iCs/>
        </w:rPr>
      </w:pPr>
    </w:p>
    <w:p w14:paraId="0CAB3127" w14:textId="77777777" w:rsidR="00897775" w:rsidRPr="001100D5" w:rsidRDefault="4A526C33" w:rsidP="000C68D0">
      <w:pPr>
        <w:pStyle w:val="Heading1"/>
      </w:pPr>
      <w:bookmarkStart w:id="14" w:name="_Toc177384169"/>
      <w:r w:rsidRPr="001100D5">
        <w:t>STORIA</w:t>
      </w:r>
      <w:r w:rsidRPr="001100D5">
        <w:rPr>
          <w:spacing w:val="-3"/>
        </w:rPr>
        <w:t xml:space="preserve"> </w:t>
      </w:r>
      <w:r w:rsidRPr="000C68D0">
        <w:t>DEL</w:t>
      </w:r>
      <w:r w:rsidRPr="001100D5">
        <w:rPr>
          <w:spacing w:val="-1"/>
        </w:rPr>
        <w:t xml:space="preserve"> </w:t>
      </w:r>
      <w:r w:rsidRPr="001100D5">
        <w:t>CONTRATTO</w:t>
      </w:r>
      <w:bookmarkEnd w:id="14"/>
    </w:p>
    <w:p w14:paraId="66A8E4A2" w14:textId="4B7C257F" w:rsidR="0049704C" w:rsidRPr="00FC6F8B" w:rsidRDefault="2DC6DA8C" w:rsidP="21EC19F1">
      <w:pPr>
        <w:pStyle w:val="pf0"/>
        <w:jc w:val="both"/>
        <w:rPr>
          <w:lang w:val="it-IT"/>
        </w:rPr>
      </w:pPr>
      <w:r w:rsidRPr="00FC6F8B">
        <w:rPr>
          <w:i/>
          <w:iCs/>
          <w:lang w:val="it-IT"/>
        </w:rPr>
        <w:t>Questa informazione sarà condivisa nella prima nota utile dopo la conclusione del contratto.</w:t>
      </w:r>
    </w:p>
    <w:p w14:paraId="045B5733" w14:textId="77F9FBA5" w:rsidR="0049704C" w:rsidRPr="00FC6F8B" w:rsidRDefault="0049704C" w:rsidP="21EC19F1">
      <w:pPr>
        <w:pStyle w:val="pf0"/>
        <w:spacing w:before="60" w:beforeAutospacing="0" w:after="0" w:afterAutospacing="0"/>
        <w:jc w:val="both"/>
        <w:rPr>
          <w:i/>
          <w:iCs/>
          <w:lang w:val="it-IT"/>
        </w:rPr>
      </w:pPr>
    </w:p>
    <w:p w14:paraId="6DFDFBDA" w14:textId="5059C9D8" w:rsidR="00EC428C" w:rsidRPr="00FC6F8B" w:rsidRDefault="4A526C33" w:rsidP="000C68D0">
      <w:pPr>
        <w:pStyle w:val="Heading1"/>
      </w:pPr>
      <w:bookmarkStart w:id="15" w:name="_Toc177384170"/>
      <w:r w:rsidRPr="00FC6F8B">
        <w:t>RISULTATI</w:t>
      </w:r>
      <w:r w:rsidRPr="00FC6F8B">
        <w:rPr>
          <w:spacing w:val="-4"/>
        </w:rPr>
        <w:t xml:space="preserve"> </w:t>
      </w:r>
      <w:r w:rsidRPr="00FC6F8B">
        <w:t>OTTENUTI</w:t>
      </w:r>
      <w:bookmarkEnd w:id="15"/>
    </w:p>
    <w:p w14:paraId="7BCC0E39" w14:textId="4B7C257F" w:rsidR="00405748" w:rsidRPr="00FC6F8B" w:rsidRDefault="29596461" w:rsidP="21EC19F1">
      <w:pPr>
        <w:pStyle w:val="pf0"/>
        <w:jc w:val="both"/>
        <w:rPr>
          <w:lang w:val="it-IT"/>
        </w:rPr>
      </w:pPr>
      <w:r w:rsidRPr="00FC6F8B">
        <w:rPr>
          <w:i/>
          <w:iCs/>
          <w:lang w:val="it-IT"/>
        </w:rPr>
        <w:t>Questa informazione sarà condivisa nella prima nota utile dopo la conclusione del contratto.</w:t>
      </w:r>
    </w:p>
    <w:p w14:paraId="1D9517A8" w14:textId="26D93CFF" w:rsidR="00405748" w:rsidRPr="00FC6F8B" w:rsidRDefault="00405748" w:rsidP="21EC19F1">
      <w:pPr>
        <w:pStyle w:val="BodyText"/>
        <w:spacing w:before="60"/>
        <w:jc w:val="both"/>
        <w:rPr>
          <w:i/>
          <w:iCs/>
        </w:rPr>
      </w:pPr>
    </w:p>
    <w:p w14:paraId="10064360" w14:textId="77777777" w:rsidR="00897775" w:rsidRPr="00FC6F8B" w:rsidRDefault="4A526C33" w:rsidP="000C68D0">
      <w:pPr>
        <w:pStyle w:val="Heading1"/>
      </w:pPr>
      <w:bookmarkStart w:id="16" w:name="_Toc177384171"/>
      <w:r w:rsidRPr="00FC6F8B">
        <w:t>LEZIONI</w:t>
      </w:r>
      <w:r w:rsidRPr="00FC6F8B">
        <w:rPr>
          <w:spacing w:val="-5"/>
        </w:rPr>
        <w:t xml:space="preserve"> </w:t>
      </w:r>
      <w:r w:rsidRPr="00FC6F8B">
        <w:t>APPRESE</w:t>
      </w:r>
      <w:r w:rsidRPr="00FC6F8B">
        <w:rPr>
          <w:spacing w:val="-4"/>
        </w:rPr>
        <w:t xml:space="preserve"> </w:t>
      </w:r>
      <w:r w:rsidRPr="00FC6F8B">
        <w:t>ED</w:t>
      </w:r>
      <w:r w:rsidRPr="00FC6F8B">
        <w:rPr>
          <w:spacing w:val="-2"/>
        </w:rPr>
        <w:t xml:space="preserve"> </w:t>
      </w:r>
      <w:r w:rsidRPr="00FC6F8B">
        <w:t>INIZIATIVE</w:t>
      </w:r>
      <w:r w:rsidRPr="00FC6F8B">
        <w:rPr>
          <w:spacing w:val="-4"/>
        </w:rPr>
        <w:t xml:space="preserve"> </w:t>
      </w:r>
      <w:r w:rsidRPr="00FC6F8B">
        <w:t>FUTURE</w:t>
      </w:r>
      <w:bookmarkEnd w:id="16"/>
    </w:p>
    <w:p w14:paraId="0D0CFA55" w14:textId="4B7C257F" w:rsidR="00897775" w:rsidRPr="00FC6F8B" w:rsidRDefault="42069094" w:rsidP="21EC19F1">
      <w:pPr>
        <w:pStyle w:val="pf0"/>
        <w:jc w:val="both"/>
        <w:rPr>
          <w:lang w:val="it-IT"/>
        </w:rPr>
      </w:pPr>
      <w:r w:rsidRPr="00FC6F8B">
        <w:rPr>
          <w:i/>
          <w:iCs/>
          <w:lang w:val="it-IT"/>
        </w:rPr>
        <w:t>Questa informazione sarà condivisa nella prima nota utile dopo la conclusione del contratto.</w:t>
      </w:r>
    </w:p>
    <w:p w14:paraId="29D92FE8" w14:textId="170349D3" w:rsidR="00897775" w:rsidRPr="001100D5" w:rsidRDefault="00897775" w:rsidP="21EC19F1">
      <w:pPr>
        <w:pStyle w:val="BodyText"/>
        <w:spacing w:before="125" w:line="259" w:lineRule="auto"/>
        <w:jc w:val="both"/>
        <w:rPr>
          <w:i/>
          <w:iCs/>
        </w:rPr>
      </w:pPr>
    </w:p>
    <w:sectPr w:rsidR="00897775" w:rsidRPr="001100D5" w:rsidSect="00EC3AE3">
      <w:pgSz w:w="11910" w:h="16840"/>
      <w:pgMar w:top="1300" w:right="1137" w:bottom="1240" w:left="1380" w:header="0" w:footer="10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141E67" w14:textId="77777777" w:rsidR="00CC4DBA" w:rsidRDefault="00CC4DBA">
      <w:r>
        <w:separator/>
      </w:r>
    </w:p>
  </w:endnote>
  <w:endnote w:type="continuationSeparator" w:id="0">
    <w:p w14:paraId="55AADD82" w14:textId="77777777" w:rsidR="00CC4DBA" w:rsidRDefault="00CC4DBA">
      <w:r>
        <w:continuationSeparator/>
      </w:r>
    </w:p>
  </w:endnote>
  <w:endnote w:type="continuationNotice" w:id="1">
    <w:p w14:paraId="110CBDB3" w14:textId="77777777" w:rsidR="00CC4DBA" w:rsidRDefault="00CC4D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AA059" w14:textId="35F6E52F" w:rsidR="00897775" w:rsidRDefault="00897775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A476E5" w14:textId="77777777" w:rsidR="00CC4DBA" w:rsidRDefault="00CC4DBA">
      <w:r>
        <w:separator/>
      </w:r>
    </w:p>
  </w:footnote>
  <w:footnote w:type="continuationSeparator" w:id="0">
    <w:p w14:paraId="0C0EABED" w14:textId="77777777" w:rsidR="00CC4DBA" w:rsidRDefault="00CC4DBA">
      <w:r>
        <w:continuationSeparator/>
      </w:r>
    </w:p>
  </w:footnote>
  <w:footnote w:type="continuationNotice" w:id="1">
    <w:p w14:paraId="0520F0BE" w14:textId="77777777" w:rsidR="00CC4DBA" w:rsidRDefault="00CC4DB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9A2B05"/>
    <w:multiLevelType w:val="multilevel"/>
    <w:tmpl w:val="0410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 w16cid:durableId="166213904">
    <w:abstractNumId w:val="0"/>
  </w:num>
  <w:num w:numId="2" w16cid:durableId="199586916">
    <w:abstractNumId w:val="0"/>
  </w:num>
  <w:num w:numId="3" w16cid:durableId="1597597734">
    <w:abstractNumId w:val="0"/>
    <w:lvlOverride w:ilvl="0">
      <w:startOverride w:val="2"/>
    </w:lvlOverride>
    <w:lvlOverride w:ilvl="1">
      <w:startOverride w:val="2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775"/>
    <w:rsid w:val="00002EC3"/>
    <w:rsid w:val="00005C47"/>
    <w:rsid w:val="00005EC9"/>
    <w:rsid w:val="00010423"/>
    <w:rsid w:val="00017AFA"/>
    <w:rsid w:val="000268CC"/>
    <w:rsid w:val="00032B89"/>
    <w:rsid w:val="00035CC1"/>
    <w:rsid w:val="0003693B"/>
    <w:rsid w:val="00044919"/>
    <w:rsid w:val="00055FCF"/>
    <w:rsid w:val="00062274"/>
    <w:rsid w:val="00063E60"/>
    <w:rsid w:val="00067272"/>
    <w:rsid w:val="000761AA"/>
    <w:rsid w:val="0007639A"/>
    <w:rsid w:val="00080207"/>
    <w:rsid w:val="000803F4"/>
    <w:rsid w:val="0008574B"/>
    <w:rsid w:val="00086381"/>
    <w:rsid w:val="00087E49"/>
    <w:rsid w:val="0009087A"/>
    <w:rsid w:val="000922E8"/>
    <w:rsid w:val="00094024"/>
    <w:rsid w:val="000944A7"/>
    <w:rsid w:val="000964AB"/>
    <w:rsid w:val="000A0C87"/>
    <w:rsid w:val="000A2A3E"/>
    <w:rsid w:val="000A6DD9"/>
    <w:rsid w:val="000B74F7"/>
    <w:rsid w:val="000C006E"/>
    <w:rsid w:val="000C68D0"/>
    <w:rsid w:val="000D6DE7"/>
    <w:rsid w:val="000E2603"/>
    <w:rsid w:val="000E5599"/>
    <w:rsid w:val="000F2BE7"/>
    <w:rsid w:val="000F348D"/>
    <w:rsid w:val="000F44A5"/>
    <w:rsid w:val="000F53E8"/>
    <w:rsid w:val="000F6B5D"/>
    <w:rsid w:val="00103060"/>
    <w:rsid w:val="00103A53"/>
    <w:rsid w:val="00104A92"/>
    <w:rsid w:val="001100D5"/>
    <w:rsid w:val="001113B6"/>
    <w:rsid w:val="00151DD9"/>
    <w:rsid w:val="00152AC0"/>
    <w:rsid w:val="00153EAC"/>
    <w:rsid w:val="001563A1"/>
    <w:rsid w:val="001603F6"/>
    <w:rsid w:val="001647B1"/>
    <w:rsid w:val="00167C77"/>
    <w:rsid w:val="001732E2"/>
    <w:rsid w:val="00176C15"/>
    <w:rsid w:val="0018132D"/>
    <w:rsid w:val="001849CB"/>
    <w:rsid w:val="00185EA4"/>
    <w:rsid w:val="00187D8B"/>
    <w:rsid w:val="0019427F"/>
    <w:rsid w:val="00197B50"/>
    <w:rsid w:val="001A4495"/>
    <w:rsid w:val="001B1336"/>
    <w:rsid w:val="001B46AE"/>
    <w:rsid w:val="001C3FE7"/>
    <w:rsid w:val="001D6EF1"/>
    <w:rsid w:val="001E0DD9"/>
    <w:rsid w:val="001F73A0"/>
    <w:rsid w:val="002009C4"/>
    <w:rsid w:val="00201099"/>
    <w:rsid w:val="0021379E"/>
    <w:rsid w:val="00214C3D"/>
    <w:rsid w:val="002178B4"/>
    <w:rsid w:val="00221707"/>
    <w:rsid w:val="002218AF"/>
    <w:rsid w:val="00222769"/>
    <w:rsid w:val="00231339"/>
    <w:rsid w:val="002333FF"/>
    <w:rsid w:val="00243ACF"/>
    <w:rsid w:val="00244D42"/>
    <w:rsid w:val="002555B7"/>
    <w:rsid w:val="00256FB5"/>
    <w:rsid w:val="0025776A"/>
    <w:rsid w:val="00257C27"/>
    <w:rsid w:val="00263952"/>
    <w:rsid w:val="00267886"/>
    <w:rsid w:val="002733F5"/>
    <w:rsid w:val="00276BD5"/>
    <w:rsid w:val="002801AC"/>
    <w:rsid w:val="0028041C"/>
    <w:rsid w:val="00285E3A"/>
    <w:rsid w:val="0029222D"/>
    <w:rsid w:val="00292537"/>
    <w:rsid w:val="00292B4E"/>
    <w:rsid w:val="002938AA"/>
    <w:rsid w:val="0029530E"/>
    <w:rsid w:val="002A0B70"/>
    <w:rsid w:val="002A1295"/>
    <w:rsid w:val="002A4F38"/>
    <w:rsid w:val="002A6A1D"/>
    <w:rsid w:val="002A7761"/>
    <w:rsid w:val="002B1E76"/>
    <w:rsid w:val="002C1938"/>
    <w:rsid w:val="002C58D6"/>
    <w:rsid w:val="002D021F"/>
    <w:rsid w:val="002D1AD8"/>
    <w:rsid w:val="002D354A"/>
    <w:rsid w:val="002D35A4"/>
    <w:rsid w:val="002D3881"/>
    <w:rsid w:val="002E6D77"/>
    <w:rsid w:val="002F0792"/>
    <w:rsid w:val="002F1777"/>
    <w:rsid w:val="002F7EE0"/>
    <w:rsid w:val="00303ED2"/>
    <w:rsid w:val="003071D0"/>
    <w:rsid w:val="00307C0B"/>
    <w:rsid w:val="00307E58"/>
    <w:rsid w:val="003135E2"/>
    <w:rsid w:val="003138D4"/>
    <w:rsid w:val="0031471E"/>
    <w:rsid w:val="00323368"/>
    <w:rsid w:val="003329D9"/>
    <w:rsid w:val="00337EF4"/>
    <w:rsid w:val="003407D9"/>
    <w:rsid w:val="00344385"/>
    <w:rsid w:val="00345742"/>
    <w:rsid w:val="00365737"/>
    <w:rsid w:val="00367930"/>
    <w:rsid w:val="003757EA"/>
    <w:rsid w:val="003773CB"/>
    <w:rsid w:val="00390C86"/>
    <w:rsid w:val="003940A7"/>
    <w:rsid w:val="003B5F85"/>
    <w:rsid w:val="003C3D06"/>
    <w:rsid w:val="003C529E"/>
    <w:rsid w:val="003C6C23"/>
    <w:rsid w:val="003D3248"/>
    <w:rsid w:val="003D5484"/>
    <w:rsid w:val="003E08F2"/>
    <w:rsid w:val="003E225B"/>
    <w:rsid w:val="003E2F1D"/>
    <w:rsid w:val="00400B9B"/>
    <w:rsid w:val="00401A15"/>
    <w:rsid w:val="00405748"/>
    <w:rsid w:val="00405C6F"/>
    <w:rsid w:val="00412B5B"/>
    <w:rsid w:val="00413B0E"/>
    <w:rsid w:val="0042050F"/>
    <w:rsid w:val="00421D9F"/>
    <w:rsid w:val="00437166"/>
    <w:rsid w:val="0045056D"/>
    <w:rsid w:val="00454C0E"/>
    <w:rsid w:val="00456F13"/>
    <w:rsid w:val="00460A82"/>
    <w:rsid w:val="004644DE"/>
    <w:rsid w:val="00465E3B"/>
    <w:rsid w:val="004741BA"/>
    <w:rsid w:val="0049704C"/>
    <w:rsid w:val="004A39AD"/>
    <w:rsid w:val="004A464B"/>
    <w:rsid w:val="004B4182"/>
    <w:rsid w:val="004C75FF"/>
    <w:rsid w:val="004E5841"/>
    <w:rsid w:val="004E70B5"/>
    <w:rsid w:val="004F7DA5"/>
    <w:rsid w:val="005035AF"/>
    <w:rsid w:val="005175C0"/>
    <w:rsid w:val="005301F2"/>
    <w:rsid w:val="00531404"/>
    <w:rsid w:val="005446ED"/>
    <w:rsid w:val="00562D9C"/>
    <w:rsid w:val="00566AB9"/>
    <w:rsid w:val="00572ABE"/>
    <w:rsid w:val="0058213D"/>
    <w:rsid w:val="00585A57"/>
    <w:rsid w:val="0058732D"/>
    <w:rsid w:val="005878CA"/>
    <w:rsid w:val="005906E3"/>
    <w:rsid w:val="00593B70"/>
    <w:rsid w:val="00594801"/>
    <w:rsid w:val="005976B3"/>
    <w:rsid w:val="00597ED7"/>
    <w:rsid w:val="005B613A"/>
    <w:rsid w:val="005C3279"/>
    <w:rsid w:val="005C39C8"/>
    <w:rsid w:val="005C40FA"/>
    <w:rsid w:val="005C4C12"/>
    <w:rsid w:val="005C77BB"/>
    <w:rsid w:val="005D10B2"/>
    <w:rsid w:val="005F3016"/>
    <w:rsid w:val="005F310E"/>
    <w:rsid w:val="005F5034"/>
    <w:rsid w:val="005F54BE"/>
    <w:rsid w:val="00625714"/>
    <w:rsid w:val="00626106"/>
    <w:rsid w:val="00632AEE"/>
    <w:rsid w:val="0064551B"/>
    <w:rsid w:val="00646DB8"/>
    <w:rsid w:val="006529C4"/>
    <w:rsid w:val="00654913"/>
    <w:rsid w:val="006715A6"/>
    <w:rsid w:val="00671D90"/>
    <w:rsid w:val="00682DD3"/>
    <w:rsid w:val="00685DC5"/>
    <w:rsid w:val="00687E23"/>
    <w:rsid w:val="006A437B"/>
    <w:rsid w:val="006A7347"/>
    <w:rsid w:val="006C0406"/>
    <w:rsid w:val="006C22E9"/>
    <w:rsid w:val="006D2116"/>
    <w:rsid w:val="006D5B66"/>
    <w:rsid w:val="006D64E9"/>
    <w:rsid w:val="006D6A53"/>
    <w:rsid w:val="00703581"/>
    <w:rsid w:val="00703853"/>
    <w:rsid w:val="007129A9"/>
    <w:rsid w:val="00713223"/>
    <w:rsid w:val="00715EF8"/>
    <w:rsid w:val="00716938"/>
    <w:rsid w:val="00720F1A"/>
    <w:rsid w:val="00727EE5"/>
    <w:rsid w:val="00735C36"/>
    <w:rsid w:val="00740744"/>
    <w:rsid w:val="00753F3F"/>
    <w:rsid w:val="007601DC"/>
    <w:rsid w:val="00767A8C"/>
    <w:rsid w:val="007849A2"/>
    <w:rsid w:val="007A25D7"/>
    <w:rsid w:val="007A42E6"/>
    <w:rsid w:val="007C059E"/>
    <w:rsid w:val="007C63A9"/>
    <w:rsid w:val="007C77A0"/>
    <w:rsid w:val="007D083A"/>
    <w:rsid w:val="007D4AAD"/>
    <w:rsid w:val="007D64BD"/>
    <w:rsid w:val="007D7367"/>
    <w:rsid w:val="007F1F7F"/>
    <w:rsid w:val="007F24F9"/>
    <w:rsid w:val="007F507B"/>
    <w:rsid w:val="007F5E8D"/>
    <w:rsid w:val="00801747"/>
    <w:rsid w:val="00804A7C"/>
    <w:rsid w:val="0081797E"/>
    <w:rsid w:val="00821833"/>
    <w:rsid w:val="00840253"/>
    <w:rsid w:val="00841513"/>
    <w:rsid w:val="008438A9"/>
    <w:rsid w:val="00845ADB"/>
    <w:rsid w:val="00856D81"/>
    <w:rsid w:val="0086174D"/>
    <w:rsid w:val="008716A7"/>
    <w:rsid w:val="00871C50"/>
    <w:rsid w:val="008842C3"/>
    <w:rsid w:val="0088794C"/>
    <w:rsid w:val="00887A3B"/>
    <w:rsid w:val="00891AA7"/>
    <w:rsid w:val="00897775"/>
    <w:rsid w:val="008A1934"/>
    <w:rsid w:val="008B42AB"/>
    <w:rsid w:val="008B7023"/>
    <w:rsid w:val="008C0069"/>
    <w:rsid w:val="008D5D49"/>
    <w:rsid w:val="008E51FD"/>
    <w:rsid w:val="008E75F9"/>
    <w:rsid w:val="008F2F0C"/>
    <w:rsid w:val="00906A40"/>
    <w:rsid w:val="00911BA0"/>
    <w:rsid w:val="0091293F"/>
    <w:rsid w:val="009236C0"/>
    <w:rsid w:val="009276E6"/>
    <w:rsid w:val="00930B6A"/>
    <w:rsid w:val="00945444"/>
    <w:rsid w:val="00945614"/>
    <w:rsid w:val="00953C2B"/>
    <w:rsid w:val="009572D8"/>
    <w:rsid w:val="0096389B"/>
    <w:rsid w:val="0096672C"/>
    <w:rsid w:val="00966A90"/>
    <w:rsid w:val="00974C8E"/>
    <w:rsid w:val="00975A3F"/>
    <w:rsid w:val="0099098A"/>
    <w:rsid w:val="00994ABE"/>
    <w:rsid w:val="009A74FA"/>
    <w:rsid w:val="009B1956"/>
    <w:rsid w:val="009B28DD"/>
    <w:rsid w:val="009B3E39"/>
    <w:rsid w:val="009B547D"/>
    <w:rsid w:val="009C3BCE"/>
    <w:rsid w:val="009C753C"/>
    <w:rsid w:val="009D7770"/>
    <w:rsid w:val="009E05E1"/>
    <w:rsid w:val="009F26C3"/>
    <w:rsid w:val="009F71F9"/>
    <w:rsid w:val="00A035A2"/>
    <w:rsid w:val="00A03BA5"/>
    <w:rsid w:val="00A05173"/>
    <w:rsid w:val="00A12C1C"/>
    <w:rsid w:val="00A17F6C"/>
    <w:rsid w:val="00A23C29"/>
    <w:rsid w:val="00A253E1"/>
    <w:rsid w:val="00A53C0A"/>
    <w:rsid w:val="00A5475A"/>
    <w:rsid w:val="00A55EE3"/>
    <w:rsid w:val="00A62B2D"/>
    <w:rsid w:val="00A6759F"/>
    <w:rsid w:val="00A72CA4"/>
    <w:rsid w:val="00A86EC4"/>
    <w:rsid w:val="00A936B8"/>
    <w:rsid w:val="00AA2CD3"/>
    <w:rsid w:val="00AA5716"/>
    <w:rsid w:val="00AB3D00"/>
    <w:rsid w:val="00AB6DB3"/>
    <w:rsid w:val="00AC2E0E"/>
    <w:rsid w:val="00AD3AEC"/>
    <w:rsid w:val="00AF50A2"/>
    <w:rsid w:val="00AF5F72"/>
    <w:rsid w:val="00AF7339"/>
    <w:rsid w:val="00B04E2C"/>
    <w:rsid w:val="00B22C57"/>
    <w:rsid w:val="00B23830"/>
    <w:rsid w:val="00B25A04"/>
    <w:rsid w:val="00B32202"/>
    <w:rsid w:val="00B506AD"/>
    <w:rsid w:val="00B51EE3"/>
    <w:rsid w:val="00B5555E"/>
    <w:rsid w:val="00B56ACB"/>
    <w:rsid w:val="00B61EF1"/>
    <w:rsid w:val="00B655ED"/>
    <w:rsid w:val="00B72D59"/>
    <w:rsid w:val="00B9088E"/>
    <w:rsid w:val="00B9199C"/>
    <w:rsid w:val="00B952C3"/>
    <w:rsid w:val="00B97FBF"/>
    <w:rsid w:val="00BA26D8"/>
    <w:rsid w:val="00BA39A9"/>
    <w:rsid w:val="00BB0A13"/>
    <w:rsid w:val="00BC2B05"/>
    <w:rsid w:val="00BC2E86"/>
    <w:rsid w:val="00BC3BC1"/>
    <w:rsid w:val="00BD2AC1"/>
    <w:rsid w:val="00BD35B8"/>
    <w:rsid w:val="00BD4881"/>
    <w:rsid w:val="00BE1065"/>
    <w:rsid w:val="00BE1954"/>
    <w:rsid w:val="00BE2028"/>
    <w:rsid w:val="00BE3D87"/>
    <w:rsid w:val="00BF5515"/>
    <w:rsid w:val="00BF5F57"/>
    <w:rsid w:val="00C02066"/>
    <w:rsid w:val="00C056FC"/>
    <w:rsid w:val="00C1408E"/>
    <w:rsid w:val="00C16793"/>
    <w:rsid w:val="00C26245"/>
    <w:rsid w:val="00C26381"/>
    <w:rsid w:val="00C300C4"/>
    <w:rsid w:val="00C365EB"/>
    <w:rsid w:val="00C43378"/>
    <w:rsid w:val="00C466EA"/>
    <w:rsid w:val="00C565DC"/>
    <w:rsid w:val="00C5679C"/>
    <w:rsid w:val="00C6305E"/>
    <w:rsid w:val="00C6451F"/>
    <w:rsid w:val="00C65301"/>
    <w:rsid w:val="00C70F89"/>
    <w:rsid w:val="00C7272A"/>
    <w:rsid w:val="00C72D5E"/>
    <w:rsid w:val="00C72FAF"/>
    <w:rsid w:val="00C752A6"/>
    <w:rsid w:val="00C754F5"/>
    <w:rsid w:val="00C7743D"/>
    <w:rsid w:val="00C8209F"/>
    <w:rsid w:val="00C83672"/>
    <w:rsid w:val="00C903BA"/>
    <w:rsid w:val="00CA0DB3"/>
    <w:rsid w:val="00CC4DBA"/>
    <w:rsid w:val="00CD2EB6"/>
    <w:rsid w:val="00CD55C7"/>
    <w:rsid w:val="00CE17E0"/>
    <w:rsid w:val="00CE3CA5"/>
    <w:rsid w:val="00CF3669"/>
    <w:rsid w:val="00D05DC9"/>
    <w:rsid w:val="00D0757B"/>
    <w:rsid w:val="00D13F37"/>
    <w:rsid w:val="00D166C9"/>
    <w:rsid w:val="00D23848"/>
    <w:rsid w:val="00D25A0E"/>
    <w:rsid w:val="00D25B89"/>
    <w:rsid w:val="00D30804"/>
    <w:rsid w:val="00D4755E"/>
    <w:rsid w:val="00D5128A"/>
    <w:rsid w:val="00D51CC5"/>
    <w:rsid w:val="00D5329B"/>
    <w:rsid w:val="00D5338F"/>
    <w:rsid w:val="00D578D1"/>
    <w:rsid w:val="00D64BCE"/>
    <w:rsid w:val="00D7142A"/>
    <w:rsid w:val="00D83150"/>
    <w:rsid w:val="00D9004A"/>
    <w:rsid w:val="00DA5718"/>
    <w:rsid w:val="00DB3934"/>
    <w:rsid w:val="00DC4B94"/>
    <w:rsid w:val="00DC532C"/>
    <w:rsid w:val="00DD1F98"/>
    <w:rsid w:val="00DE7DDD"/>
    <w:rsid w:val="00DF6C40"/>
    <w:rsid w:val="00E00778"/>
    <w:rsid w:val="00E053B4"/>
    <w:rsid w:val="00E05FD1"/>
    <w:rsid w:val="00E078D0"/>
    <w:rsid w:val="00E07AD7"/>
    <w:rsid w:val="00E12063"/>
    <w:rsid w:val="00E1433D"/>
    <w:rsid w:val="00E15591"/>
    <w:rsid w:val="00E16405"/>
    <w:rsid w:val="00E16FCF"/>
    <w:rsid w:val="00E251AF"/>
    <w:rsid w:val="00E27404"/>
    <w:rsid w:val="00E27F17"/>
    <w:rsid w:val="00E3053D"/>
    <w:rsid w:val="00E363D4"/>
    <w:rsid w:val="00E42F9C"/>
    <w:rsid w:val="00E442F0"/>
    <w:rsid w:val="00E44312"/>
    <w:rsid w:val="00E44898"/>
    <w:rsid w:val="00E52BC0"/>
    <w:rsid w:val="00E5722D"/>
    <w:rsid w:val="00E61106"/>
    <w:rsid w:val="00E7206B"/>
    <w:rsid w:val="00E74866"/>
    <w:rsid w:val="00E91A52"/>
    <w:rsid w:val="00E93DDC"/>
    <w:rsid w:val="00E948FE"/>
    <w:rsid w:val="00E9627E"/>
    <w:rsid w:val="00EC3AE3"/>
    <w:rsid w:val="00EC428C"/>
    <w:rsid w:val="00EC44A3"/>
    <w:rsid w:val="00EC7336"/>
    <w:rsid w:val="00ED66DC"/>
    <w:rsid w:val="00EE006E"/>
    <w:rsid w:val="00EE1DD2"/>
    <w:rsid w:val="00EF14C1"/>
    <w:rsid w:val="00EF2812"/>
    <w:rsid w:val="00F00516"/>
    <w:rsid w:val="00F041B2"/>
    <w:rsid w:val="00F04BDB"/>
    <w:rsid w:val="00F04F9F"/>
    <w:rsid w:val="00F0592A"/>
    <w:rsid w:val="00F168F4"/>
    <w:rsid w:val="00F203A1"/>
    <w:rsid w:val="00F2092F"/>
    <w:rsid w:val="00F2591B"/>
    <w:rsid w:val="00F30558"/>
    <w:rsid w:val="00F37C1F"/>
    <w:rsid w:val="00F40F4E"/>
    <w:rsid w:val="00F43216"/>
    <w:rsid w:val="00F44BBA"/>
    <w:rsid w:val="00F5331B"/>
    <w:rsid w:val="00F53DF0"/>
    <w:rsid w:val="00F55CB0"/>
    <w:rsid w:val="00F60F5C"/>
    <w:rsid w:val="00F649E2"/>
    <w:rsid w:val="00F672E3"/>
    <w:rsid w:val="00F754FA"/>
    <w:rsid w:val="00F767C6"/>
    <w:rsid w:val="00F84694"/>
    <w:rsid w:val="00F91F99"/>
    <w:rsid w:val="00F94988"/>
    <w:rsid w:val="00F96A28"/>
    <w:rsid w:val="00FA187F"/>
    <w:rsid w:val="00FA23EE"/>
    <w:rsid w:val="00FA25AE"/>
    <w:rsid w:val="00FA437B"/>
    <w:rsid w:val="00FA4C56"/>
    <w:rsid w:val="00FA5B2C"/>
    <w:rsid w:val="00FB04BF"/>
    <w:rsid w:val="00FB1962"/>
    <w:rsid w:val="00FC46A7"/>
    <w:rsid w:val="00FC6F8B"/>
    <w:rsid w:val="00FD06BC"/>
    <w:rsid w:val="00FD13EA"/>
    <w:rsid w:val="00FD4C34"/>
    <w:rsid w:val="00FE0EBA"/>
    <w:rsid w:val="00FE4683"/>
    <w:rsid w:val="00FE5C44"/>
    <w:rsid w:val="00FF5E85"/>
    <w:rsid w:val="00FF707D"/>
    <w:rsid w:val="02495A99"/>
    <w:rsid w:val="038C816B"/>
    <w:rsid w:val="03E52AFA"/>
    <w:rsid w:val="051F36A0"/>
    <w:rsid w:val="05386CB5"/>
    <w:rsid w:val="06C6E92A"/>
    <w:rsid w:val="09A6348B"/>
    <w:rsid w:val="0A864C30"/>
    <w:rsid w:val="0CA94D6C"/>
    <w:rsid w:val="0DAEC292"/>
    <w:rsid w:val="11F1215A"/>
    <w:rsid w:val="12E3D6F2"/>
    <w:rsid w:val="137E5C95"/>
    <w:rsid w:val="13E827EF"/>
    <w:rsid w:val="145BB471"/>
    <w:rsid w:val="1E0474F7"/>
    <w:rsid w:val="1ECDA398"/>
    <w:rsid w:val="20BB4F35"/>
    <w:rsid w:val="2183D935"/>
    <w:rsid w:val="21EC19F1"/>
    <w:rsid w:val="22A0E122"/>
    <w:rsid w:val="2391148B"/>
    <w:rsid w:val="256518F8"/>
    <w:rsid w:val="25B73801"/>
    <w:rsid w:val="2703CD55"/>
    <w:rsid w:val="273C392F"/>
    <w:rsid w:val="28319B01"/>
    <w:rsid w:val="29596461"/>
    <w:rsid w:val="29C76BCD"/>
    <w:rsid w:val="29E93C89"/>
    <w:rsid w:val="2B6B3BE7"/>
    <w:rsid w:val="2CCA0FBD"/>
    <w:rsid w:val="2D56DAD3"/>
    <w:rsid w:val="2DC6DA8C"/>
    <w:rsid w:val="2E249261"/>
    <w:rsid w:val="312A7044"/>
    <w:rsid w:val="33641808"/>
    <w:rsid w:val="3448E8A9"/>
    <w:rsid w:val="358C3944"/>
    <w:rsid w:val="35E4B90A"/>
    <w:rsid w:val="371930B3"/>
    <w:rsid w:val="37743832"/>
    <w:rsid w:val="37B4D65E"/>
    <w:rsid w:val="3859C859"/>
    <w:rsid w:val="38BAA267"/>
    <w:rsid w:val="3BBE4F85"/>
    <w:rsid w:val="3C06A1CB"/>
    <w:rsid w:val="3D16F643"/>
    <w:rsid w:val="3F7B30FF"/>
    <w:rsid w:val="41532D87"/>
    <w:rsid w:val="417A4473"/>
    <w:rsid w:val="42069094"/>
    <w:rsid w:val="4251B1EC"/>
    <w:rsid w:val="42D30D37"/>
    <w:rsid w:val="43026A82"/>
    <w:rsid w:val="43F2CE38"/>
    <w:rsid w:val="45E0AB11"/>
    <w:rsid w:val="479DD1D6"/>
    <w:rsid w:val="487FDD16"/>
    <w:rsid w:val="4A0E36E2"/>
    <w:rsid w:val="4A526C33"/>
    <w:rsid w:val="4D25ED6A"/>
    <w:rsid w:val="4E246053"/>
    <w:rsid w:val="4FA1BF1A"/>
    <w:rsid w:val="52C82505"/>
    <w:rsid w:val="5459DE38"/>
    <w:rsid w:val="5566B7E9"/>
    <w:rsid w:val="58A8A1CE"/>
    <w:rsid w:val="59783040"/>
    <w:rsid w:val="5BAF54EE"/>
    <w:rsid w:val="5C8696B9"/>
    <w:rsid w:val="5C882FA8"/>
    <w:rsid w:val="5DADB57A"/>
    <w:rsid w:val="5E61A06C"/>
    <w:rsid w:val="5EFE9A9F"/>
    <w:rsid w:val="61EEE692"/>
    <w:rsid w:val="62F7712C"/>
    <w:rsid w:val="639D2FE8"/>
    <w:rsid w:val="6424C14A"/>
    <w:rsid w:val="6565EE9D"/>
    <w:rsid w:val="66195BC2"/>
    <w:rsid w:val="68A57CE5"/>
    <w:rsid w:val="69679932"/>
    <w:rsid w:val="6D71070F"/>
    <w:rsid w:val="6D78EE08"/>
    <w:rsid w:val="6E432CF7"/>
    <w:rsid w:val="6F14BE69"/>
    <w:rsid w:val="6F20E5ED"/>
    <w:rsid w:val="7097666D"/>
    <w:rsid w:val="71D71B8A"/>
    <w:rsid w:val="723336CE"/>
    <w:rsid w:val="724C5F2B"/>
    <w:rsid w:val="73A8C843"/>
    <w:rsid w:val="73E82F8C"/>
    <w:rsid w:val="767942FC"/>
    <w:rsid w:val="7706A7F1"/>
    <w:rsid w:val="774632FD"/>
    <w:rsid w:val="78FE28A1"/>
    <w:rsid w:val="79546111"/>
    <w:rsid w:val="795FFD0C"/>
    <w:rsid w:val="7AD51B4A"/>
    <w:rsid w:val="7AF3E78B"/>
    <w:rsid w:val="7BCF0FA8"/>
    <w:rsid w:val="7EA44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C46298"/>
  <w15:docId w15:val="{8D8331DA-3726-4A73-A4AF-B9076162C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7886"/>
    <w:rPr>
      <w:rFonts w:ascii="Times New Roman" w:eastAsia="Times New Roman" w:hAnsi="Times New Roman" w:cs="Times New Roman"/>
      <w:lang w:val="it-IT"/>
    </w:rPr>
  </w:style>
  <w:style w:type="paragraph" w:styleId="Heading1">
    <w:name w:val="heading 1"/>
    <w:basedOn w:val="Normal"/>
    <w:uiPriority w:val="9"/>
    <w:qFormat/>
    <w:rsid w:val="00C26245"/>
    <w:pPr>
      <w:numPr>
        <w:numId w:val="1"/>
      </w:numPr>
      <w:spacing w:before="22"/>
      <w:outlineLvl w:val="0"/>
    </w:pPr>
    <w:rPr>
      <w:rFonts w:eastAsia="Calibri" w:cs="Calibri"/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rsid w:val="00C26245"/>
    <w:pPr>
      <w:numPr>
        <w:ilvl w:val="1"/>
        <w:numId w:val="1"/>
      </w:numPr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94ABE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4AB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4AB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4AB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4AB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4AB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4AB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267886"/>
    <w:rPr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1297" w:hanging="349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rsid w:val="00454C0E"/>
    <w:pPr>
      <w:widowControl/>
      <w:tabs>
        <w:tab w:val="center" w:pos="4819"/>
        <w:tab w:val="right" w:pos="9638"/>
      </w:tabs>
      <w:autoSpaceDE/>
      <w:autoSpaceDN/>
    </w:pPr>
    <w:rPr>
      <w:sz w:val="20"/>
      <w:szCs w:val="20"/>
      <w:lang w:eastAsia="it-IT"/>
    </w:rPr>
  </w:style>
  <w:style w:type="character" w:customStyle="1" w:styleId="HeaderChar">
    <w:name w:val="Header Char"/>
    <w:basedOn w:val="DefaultParagraphFont"/>
    <w:link w:val="Header"/>
    <w:rsid w:val="00454C0E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Heading3Char">
    <w:name w:val="Heading 3 Char"/>
    <w:basedOn w:val="DefaultParagraphFont"/>
    <w:link w:val="Heading3"/>
    <w:uiPriority w:val="9"/>
    <w:rsid w:val="00994AB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4ABE"/>
    <w:rPr>
      <w:rFonts w:asciiTheme="majorHAnsi" w:eastAsiaTheme="majorEastAsia" w:hAnsiTheme="majorHAnsi" w:cstheme="majorBidi"/>
      <w:i/>
      <w:iCs/>
      <w:color w:val="365F91" w:themeColor="accent1" w:themeShade="BF"/>
      <w:lang w:val="it-I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4ABE"/>
    <w:rPr>
      <w:rFonts w:asciiTheme="majorHAnsi" w:eastAsiaTheme="majorEastAsia" w:hAnsiTheme="majorHAnsi" w:cstheme="majorBidi"/>
      <w:color w:val="365F91" w:themeColor="accent1" w:themeShade="BF"/>
      <w:lang w:val="it-I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4ABE"/>
    <w:rPr>
      <w:rFonts w:asciiTheme="majorHAnsi" w:eastAsiaTheme="majorEastAsia" w:hAnsiTheme="majorHAnsi" w:cstheme="majorBidi"/>
      <w:color w:val="243F60" w:themeColor="accent1" w:themeShade="7F"/>
      <w:lang w:val="it-I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4ABE"/>
    <w:rPr>
      <w:rFonts w:asciiTheme="majorHAnsi" w:eastAsiaTheme="majorEastAsia" w:hAnsiTheme="majorHAnsi" w:cstheme="majorBidi"/>
      <w:i/>
      <w:iCs/>
      <w:color w:val="243F60" w:themeColor="accent1" w:themeShade="7F"/>
      <w:lang w:val="it-I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4AB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it-I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4AB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it-IT"/>
    </w:rPr>
  </w:style>
  <w:style w:type="paragraph" w:styleId="TOCHeading">
    <w:name w:val="TOC Heading"/>
    <w:basedOn w:val="Heading1"/>
    <w:next w:val="Normal"/>
    <w:uiPriority w:val="39"/>
    <w:unhideWhenUsed/>
    <w:qFormat/>
    <w:rsid w:val="002938AA"/>
    <w:pPr>
      <w:keepNext/>
      <w:keepLines/>
      <w:widowControl/>
      <w:numPr>
        <w:numId w:val="0"/>
      </w:numPr>
      <w:autoSpaceDE/>
      <w:autoSpaceDN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938A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938AA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2938AA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1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6938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6938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character" w:customStyle="1" w:styleId="BodyTextChar">
    <w:name w:val="Body Text Char"/>
    <w:basedOn w:val="DefaultParagraphFont"/>
    <w:link w:val="BodyText"/>
    <w:uiPriority w:val="1"/>
    <w:rsid w:val="00840253"/>
    <w:rPr>
      <w:rFonts w:ascii="Times New Roman" w:eastAsia="Times New Roman" w:hAnsi="Times New Roman" w:cs="Times New Roman"/>
      <w:sz w:val="24"/>
      <w:szCs w:val="24"/>
      <w:lang w:val="it-IT"/>
    </w:rPr>
  </w:style>
  <w:style w:type="paragraph" w:styleId="Revision">
    <w:name w:val="Revision"/>
    <w:hidden/>
    <w:uiPriority w:val="99"/>
    <w:semiHidden/>
    <w:rsid w:val="00FA5B2C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character" w:customStyle="1" w:styleId="cf01">
    <w:name w:val="cf01"/>
    <w:basedOn w:val="DefaultParagraphFont"/>
    <w:rsid w:val="009F71F9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5C3279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F37C1F"/>
  </w:style>
  <w:style w:type="table" w:styleId="TableGrid">
    <w:name w:val="Table Grid"/>
    <w:basedOn w:val="TableNormal"/>
    <w:uiPriority w:val="39"/>
    <w:rsid w:val="00856D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1EF1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styleId="TOC3">
    <w:name w:val="toc 3"/>
    <w:basedOn w:val="Normal"/>
    <w:next w:val="Normal"/>
    <w:autoRedefine/>
    <w:uiPriority w:val="39"/>
    <w:unhideWhenUsed/>
    <w:rsid w:val="00A253E1"/>
    <w:pPr>
      <w:spacing w:after="100"/>
      <w:ind w:left="440"/>
    </w:pPr>
  </w:style>
  <w:style w:type="character" w:styleId="UnresolvedMention">
    <w:name w:val="Unresolved Mention"/>
    <w:basedOn w:val="DefaultParagraphFont"/>
    <w:uiPriority w:val="99"/>
    <w:semiHidden/>
    <w:unhideWhenUsed/>
    <w:rsid w:val="003C3D06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A035A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35A2"/>
    <w:rPr>
      <w:rFonts w:ascii="Times New Roman" w:eastAsia="Times New Roman" w:hAnsi="Times New Roman" w:cs="Times New Roman"/>
      <w:lang w:val="it-IT"/>
    </w:rPr>
  </w:style>
  <w:style w:type="paragraph" w:styleId="NormalWeb">
    <w:name w:val="Normal (Web)"/>
    <w:basedOn w:val="Normal"/>
    <w:uiPriority w:val="99"/>
    <w:semiHidden/>
    <w:unhideWhenUsed/>
    <w:rsid w:val="00685DC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customStyle="1" w:styleId="eop">
    <w:name w:val="eop"/>
    <w:basedOn w:val="DefaultParagraphFont"/>
    <w:uiPriority w:val="1"/>
    <w:rsid w:val="6424C1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7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1877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22911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8709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6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65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5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1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Microsoft_Excel_Worksheet.xls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B1A8EC9097E142ABBECAE8D2C961F1" ma:contentTypeVersion="6" ma:contentTypeDescription="Create a new document." ma:contentTypeScope="" ma:versionID="4a9dd420c75d17f583d5ea7d4ff3a70f">
  <xsd:schema xmlns:xsd="http://www.w3.org/2001/XMLSchema" xmlns:xs="http://www.w3.org/2001/XMLSchema" xmlns:p="http://schemas.microsoft.com/office/2006/metadata/properties" xmlns:ns2="9c7fe4a4-3acc-4647-9186-51d9a22ec576" xmlns:ns3="c9d1aa21-fbc5-4f22-b0ed-bafbb80072fa" targetNamespace="http://schemas.microsoft.com/office/2006/metadata/properties" ma:root="true" ma:fieldsID="876c702e38f6ddbd8b2e4c5a8ce2e7c0" ns2:_="" ns3:_="">
    <xsd:import namespace="9c7fe4a4-3acc-4647-9186-51d9a22ec576"/>
    <xsd:import namespace="c9d1aa21-fbc5-4f22-b0ed-bafbb80072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fe4a4-3acc-4647-9186-51d9a22ec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1aa21-fbc5-4f22-b0ed-bafbb80072f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CC5443-DE83-48E4-B671-D08D2CC0BC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B39B36-7E96-414D-8344-2628D25E10ED}">
  <ds:schemaRefs>
    <ds:schemaRef ds:uri="http://schemas.microsoft.com/office/infopath/2007/PartnerControls"/>
    <ds:schemaRef ds:uri="http://purl.org/dc/elements/1.1/"/>
    <ds:schemaRef ds:uri="c9d1aa21-fbc5-4f22-b0ed-bafbb80072fa"/>
    <ds:schemaRef ds:uri="http://schemas.openxmlformats.org/package/2006/metadata/core-properties"/>
    <ds:schemaRef ds:uri="http://purl.org/dc/terms/"/>
    <ds:schemaRef ds:uri="9c7fe4a4-3acc-4647-9186-51d9a22ec576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DC04083-0713-453E-8396-64131141A6D0}"/>
</file>

<file path=customXml/itemProps4.xml><?xml version="1.0" encoding="utf-8"?>
<ds:datastoreItem xmlns:ds="http://schemas.openxmlformats.org/officeDocument/2006/customXml" ds:itemID="{6DE43F51-1348-43CB-AE18-66B2080922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1878</Words>
  <Characters>10705</Characters>
  <Application>Microsoft Office Word</Application>
  <DocSecurity>0</DocSecurity>
  <Lines>89</Lines>
  <Paragraphs>25</Paragraphs>
  <ScaleCrop>false</ScaleCrop>
  <Company/>
  <LinksUpToDate>false</LinksUpToDate>
  <CharactersWithSpaces>12558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Daniele Gattuso</cp:lastModifiedBy>
  <cp:revision>9</cp:revision>
  <dcterms:created xsi:type="dcterms:W3CDTF">2024-03-20T03:53:00Z</dcterms:created>
  <dcterms:modified xsi:type="dcterms:W3CDTF">2024-09-17T15:13:00Z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0x01010099B1A8EC9097E142ABBECAE8D2C961F1</vt:lpwstr>
  </property>
  <property fmtid="{D5CDD505-2E9C-101B-9397-08002B2CF9AE}" pid="3" name="MediaServiceImageTags">
    <vt:lpwstr/>
  </property>
</Properties>
</file>